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C49EDB">
      <w:pPr>
        <w:spacing w:line="360" w:lineRule="auto"/>
        <w:jc w:val="center"/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</w:p>
    <w:p w14:paraId="06A30614">
      <w:pPr>
        <w:spacing w:line="360" w:lineRule="auto"/>
        <w:jc w:val="center"/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</w:p>
    <w:p w14:paraId="3FACAD3C">
      <w:pPr>
        <w:spacing w:line="360" w:lineRule="auto"/>
        <w:jc w:val="center"/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</w:p>
    <w:p w14:paraId="5AEDFD8B">
      <w:pPr>
        <w:spacing w:line="360" w:lineRule="auto"/>
        <w:jc w:val="center"/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</w:p>
    <w:p w14:paraId="62D08A54">
      <w:pPr>
        <w:spacing w:line="360" w:lineRule="auto"/>
        <w:jc w:val="center"/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</w:p>
    <w:p w14:paraId="49707402">
      <w:pPr>
        <w:spacing w:line="360" w:lineRule="auto"/>
        <w:jc w:val="center"/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</w:p>
    <w:p w14:paraId="666B1A7E">
      <w:pPr>
        <w:spacing w:line="360" w:lineRule="auto"/>
        <w:jc w:val="center"/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</w:p>
    <w:p w14:paraId="4D1983F7">
      <w:pPr>
        <w:spacing w:line="360" w:lineRule="auto"/>
        <w:jc w:val="center"/>
        <w:rPr>
          <w:rFonts w:hint="default" w:ascii="仿宋" w:hAnsi="仿宋" w:eastAsia="仿宋" w:cs="仿宋"/>
          <w:b/>
          <w:bCs w:val="0"/>
          <w:kern w:val="44"/>
          <w:sz w:val="4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44"/>
          <w:sz w:val="44"/>
          <w:szCs w:val="24"/>
          <w:lang w:val="en-US" w:eastAsia="zh-CN" w:bidi="ar-SA"/>
        </w:rPr>
        <w:t>元宇宙数字化服务大厅</w:t>
      </w:r>
    </w:p>
    <w:p w14:paraId="002D0ABA">
      <w:pPr>
        <w:pStyle w:val="2"/>
        <w:bidi w:val="0"/>
        <w:spacing w:line="360" w:lineRule="auto"/>
        <w:jc w:val="center"/>
        <w:rPr>
          <w:rFonts w:hint="eastAsia" w:ascii="仿宋" w:hAnsi="仿宋" w:eastAsia="仿宋" w:cs="仿宋"/>
          <w:b/>
          <w:bCs w:val="0"/>
          <w:kern w:val="44"/>
          <w:sz w:val="44"/>
          <w:szCs w:val="24"/>
          <w:lang w:val="en-US" w:eastAsia="zh-CN" w:bidi="ar-SA"/>
        </w:rPr>
      </w:pPr>
      <w:bookmarkStart w:id="0" w:name="_Toc17663"/>
      <w:bookmarkStart w:id="1" w:name="_Toc6458"/>
      <w:r>
        <w:rPr>
          <w:rFonts w:hint="eastAsia" w:ascii="仿宋" w:hAnsi="仿宋" w:eastAsia="仿宋" w:cs="仿宋"/>
          <w:b/>
          <w:bCs w:val="0"/>
          <w:kern w:val="44"/>
          <w:sz w:val="44"/>
          <w:szCs w:val="24"/>
          <w:lang w:val="en-US" w:eastAsia="zh-CN" w:bidi="ar-SA"/>
        </w:rPr>
        <w:t>系统操作手册</w:t>
      </w:r>
      <w:bookmarkEnd w:id="0"/>
      <w:bookmarkEnd w:id="1"/>
    </w:p>
    <w:p w14:paraId="46B77DD3">
      <w:pPr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eastAsia="新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  <w:br w:type="page"/>
      </w:r>
    </w:p>
    <w:sdt>
      <w:sdtPr>
        <w:rPr>
          <w:rFonts w:ascii="宋体" w:hAnsi="宋体" w:eastAsia="宋体" w:cstheme="minorBidi"/>
          <w:b w:val="0"/>
          <w:kern w:val="2"/>
          <w:sz w:val="21"/>
          <w:szCs w:val="24"/>
          <w:lang w:val="en-US" w:eastAsia="zh-CN" w:bidi="ar-SA"/>
        </w:rPr>
        <w:id w:val="14747542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 w:val="0"/>
          <w:kern w:val="2"/>
          <w:sz w:val="21"/>
          <w:szCs w:val="24"/>
          <w:lang w:val="en-US" w:eastAsia="zh-CN" w:bidi="ar-SA"/>
        </w:rPr>
      </w:sdtEndPr>
      <w:sdtContent>
        <w:p w14:paraId="5A19C87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Style w:val="14"/>
              <w:rFonts w:hint="eastAsia" w:ascii="仿宋" w:hAnsi="仿宋" w:eastAsia="仿宋" w:cs="仿宋"/>
            </w:rPr>
          </w:pPr>
          <w:r>
            <w:rPr>
              <w:rStyle w:val="14"/>
              <w:rFonts w:hint="eastAsia" w:ascii="仿宋" w:hAnsi="仿宋" w:eastAsia="仿宋" w:cs="仿宋"/>
            </w:rPr>
            <w:t>目录</w:t>
          </w:r>
        </w:p>
        <w:p w14:paraId="560866AD">
          <w:pPr>
            <w:pStyle w:val="9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_Toc6458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kern w:val="44"/>
              <w:szCs w:val="24"/>
              <w:lang w:val="en-US" w:eastAsia="zh-CN" w:bidi="ar-SA"/>
            </w:rPr>
            <w:t>系统操作手册</w:t>
          </w:r>
          <w:r>
            <w:tab/>
          </w:r>
          <w:r>
            <w:fldChar w:fldCharType="begin"/>
          </w:r>
          <w:r>
            <w:instrText xml:space="preserve"> PAGEREF _Toc6458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0EB763CF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_Toc1268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/>
              <w:lang w:val="en-US" w:eastAsia="zh-CN"/>
            </w:rPr>
            <w:t>一、 登录</w:t>
          </w:r>
          <w:r>
            <w:tab/>
          </w:r>
          <w:r>
            <w:fldChar w:fldCharType="begin"/>
          </w:r>
          <w:r>
            <w:instrText xml:space="preserve"> PAGEREF _Toc1268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385517DC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_Toc16194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/>
              <w:lang w:val="en-US" w:eastAsia="zh-CN"/>
            </w:rPr>
            <w:t>二、 数字化服务大厅</w:t>
          </w:r>
          <w:r>
            <w:tab/>
          </w:r>
          <w:r>
            <w:fldChar w:fldCharType="begin"/>
          </w:r>
          <w:r>
            <w:instrText xml:space="preserve"> PAGEREF _Toc16194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398B90D6">
          <w:pPr>
            <w:pStyle w:val="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_Toc5585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/>
              <w:lang w:val="en-US" w:eastAsia="zh-CN"/>
            </w:rPr>
            <w:t>（一） 空间</w:t>
          </w:r>
          <w:r>
            <w:tab/>
          </w:r>
          <w:r>
            <w:fldChar w:fldCharType="begin"/>
          </w:r>
          <w:r>
            <w:instrText xml:space="preserve"> PAGEREF _Toc5585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71B7FBDA">
          <w:pPr>
            <w:pStyle w:val="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_Toc12330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/>
              <w:lang w:val="en-US" w:eastAsia="zh-CN"/>
            </w:rPr>
            <w:t>（二） 引导功能</w:t>
          </w:r>
          <w:r>
            <w:tab/>
          </w:r>
          <w:r>
            <w:fldChar w:fldCharType="begin"/>
          </w:r>
          <w:r>
            <w:instrText xml:space="preserve"> PAGEREF _Toc12330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7BA365F6">
          <w:pPr>
            <w:pStyle w:val="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_Toc15297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/>
              <w:lang w:val="en-US" w:eastAsia="zh-CN"/>
            </w:rPr>
            <w:t>（三） 主功能</w:t>
          </w:r>
          <w:r>
            <w:tab/>
          </w:r>
          <w:r>
            <w:fldChar w:fldCharType="begin"/>
          </w:r>
          <w:r>
            <w:instrText xml:space="preserve"> PAGEREF _Toc15297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79BF785F">
          <w:pPr>
            <w:pStyle w:val="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_Toc11021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/>
              <w:lang w:val="en-US" w:eastAsia="zh-CN"/>
            </w:rPr>
            <w:t>（四） 智能管家</w:t>
          </w:r>
          <w:r>
            <w:tab/>
          </w:r>
          <w:r>
            <w:fldChar w:fldCharType="begin"/>
          </w:r>
          <w:r>
            <w:instrText xml:space="preserve"> PAGEREF _Toc11021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  <w:bookmarkStart w:id="11" w:name="_GoBack"/>
          <w:bookmarkEnd w:id="11"/>
        </w:p>
        <w:p w14:paraId="543A59E7">
          <w:pPr>
            <w:pStyle w:val="6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 HYPERLINK \l _Toc294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/>
              <w:lang w:val="en-US" w:eastAsia="zh-CN"/>
            </w:rPr>
            <w:t>（五） 地图</w:t>
          </w:r>
          <w:r>
            <w:tab/>
          </w:r>
          <w:r>
            <w:fldChar w:fldCharType="begin"/>
          </w:r>
          <w:r>
            <w:instrText xml:space="preserve"> PAGEREF _Toc294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" w:hAnsi="仿宋" w:eastAsia="仿宋" w:cs="仿宋"/>
            </w:rPr>
            <w:fldChar w:fldCharType="end"/>
          </w:r>
        </w:p>
        <w:p w14:paraId="271F2817">
          <w:r>
            <w:rPr>
              <w:rFonts w:hint="eastAsia" w:ascii="仿宋" w:hAnsi="仿宋" w:eastAsia="仿宋" w:cs="仿宋"/>
            </w:rPr>
            <w:fldChar w:fldCharType="end"/>
          </w:r>
        </w:p>
      </w:sdtContent>
    </w:sdt>
    <w:p w14:paraId="5816D619"/>
    <w:p w14:paraId="14B40148">
      <w:pPr>
        <w:pStyle w:val="3"/>
        <w:numPr>
          <w:ilvl w:val="0"/>
          <w:numId w:val="1"/>
        </w:numPr>
        <w:bidi w:val="0"/>
        <w:spacing w:after="0" w:afterLines="0" w:afterAutospacing="0" w:line="360" w:lineRule="auto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" w:name="_Toc17702"/>
    </w:p>
    <w:p w14:paraId="182C2AE8">
      <w:pPr>
        <w:pStyle w:val="3"/>
        <w:numPr>
          <w:ilvl w:val="0"/>
          <w:numId w:val="1"/>
        </w:numPr>
        <w:bidi w:val="0"/>
        <w:spacing w:after="0" w:afterLines="0" w:afterAutospacing="0" w:line="360" w:lineRule="auto"/>
        <w:rPr>
          <w:rFonts w:hint="eastAsia"/>
          <w:lang w:val="en-US" w:eastAsia="zh-CN"/>
        </w:rPr>
      </w:pPr>
      <w:bookmarkStart w:id="3" w:name="_Toc1268"/>
      <w:r>
        <w:rPr>
          <w:rFonts w:hint="eastAsia"/>
          <w:lang w:val="en-US" w:eastAsia="zh-CN"/>
        </w:rPr>
        <w:t>登录</w:t>
      </w:r>
      <w:bookmarkEnd w:id="2"/>
      <w:bookmarkEnd w:id="3"/>
    </w:p>
    <w:p w14:paraId="27BE2ACE">
      <w:pPr>
        <w:numPr>
          <w:ilvl w:val="0"/>
          <w:numId w:val="0"/>
        </w:numPr>
        <w:spacing w:beforeAutospacing="0"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浏览器输入网址http://60.208.108.150:88/#/welcome打开元宇宙系统，点击“登录”。</w:t>
      </w:r>
    </w:p>
    <w:p w14:paraId="0E3C0094"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039995" cy="2160270"/>
            <wp:effectExtent l="0" t="0" r="4445" b="38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D6904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登录方式，登录方式包括：“账号登录”、“CA登录”、“扫码登录”，若选择“CA登录”需要点击登录页下方的“CA驱动下载”下载并安装CA驱动。没有注册过的用户可通过点击页面下方“游客登录”免登录体验元宇宙系统。</w:t>
      </w:r>
    </w:p>
    <w:p w14:paraId="60200851"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039995" cy="2160270"/>
            <wp:effectExtent l="0" t="0" r="4445" b="38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4B62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登录成功后，选择“身份”和“场景”。</w:t>
      </w:r>
    </w:p>
    <w:p w14:paraId="1FDEE82D">
      <w:pPr>
        <w:tabs>
          <w:tab w:val="left" w:pos="7061"/>
        </w:tabs>
        <w:bidi w:val="0"/>
        <w:spacing w:line="360" w:lineRule="auto"/>
        <w:jc w:val="both"/>
      </w:pPr>
      <w:r>
        <w:drawing>
          <wp:inline distT="0" distB="0" distL="114300" distR="114300">
            <wp:extent cx="5039995" cy="2160270"/>
            <wp:effectExtent l="0" t="0" r="4445" b="38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2A92D">
      <w:pPr>
        <w:tabs>
          <w:tab w:val="left" w:pos="7061"/>
        </w:tabs>
        <w:bidi w:val="0"/>
        <w:spacing w:line="360" w:lineRule="auto"/>
        <w:jc w:val="center"/>
      </w:pPr>
    </w:p>
    <w:p w14:paraId="6C429865">
      <w:pPr>
        <w:pStyle w:val="3"/>
        <w:numPr>
          <w:ilvl w:val="0"/>
          <w:numId w:val="1"/>
        </w:numPr>
        <w:bidi w:val="0"/>
        <w:spacing w:after="0" w:afterLines="0" w:afterAutospacing="0" w:line="360" w:lineRule="auto"/>
        <w:rPr>
          <w:rFonts w:hint="eastAsia"/>
          <w:lang w:val="en-US" w:eastAsia="zh-CN"/>
        </w:rPr>
      </w:pPr>
      <w:bookmarkStart w:id="4" w:name="_Toc15580"/>
      <w:bookmarkStart w:id="5" w:name="_Toc16194"/>
      <w:r>
        <w:rPr>
          <w:rFonts w:hint="eastAsia"/>
          <w:lang w:val="en-US" w:eastAsia="zh-CN"/>
        </w:rPr>
        <w:t>数字化服务大厅</w:t>
      </w:r>
      <w:bookmarkEnd w:id="4"/>
      <w:bookmarkEnd w:id="5"/>
    </w:p>
    <w:p w14:paraId="289FFC29">
      <w:pPr>
        <w:numPr>
          <w:ilvl w:val="0"/>
          <w:numId w:val="0"/>
        </w:numPr>
        <w:spacing w:beforeAutospacing="0"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选择“服务大厅”场景，可进入数字化服务大厅。</w:t>
      </w:r>
    </w:p>
    <w:p w14:paraId="769DD9CE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服务大厅根据济南公共资源交易中心一楼服务大厅一比一建模，支持操作虚拟人物在虚拟大厅内走动、操作查询机查询中心地图、查询大屏幕播放内容等功能。</w:t>
      </w:r>
    </w:p>
    <w:p w14:paraId="5F680C23">
      <w:pPr>
        <w:numPr>
          <w:ilvl w:val="0"/>
          <w:numId w:val="0"/>
        </w:numPr>
        <w:spacing w:afterAutospacing="0" w:line="360" w:lineRule="auto"/>
        <w:jc w:val="both"/>
      </w:pPr>
      <w:r>
        <w:drawing>
          <wp:inline distT="0" distB="0" distL="114300" distR="114300">
            <wp:extent cx="5039995" cy="2160270"/>
            <wp:effectExtent l="0" t="0" r="4445" b="38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CC8D">
      <w:pPr>
        <w:pStyle w:val="4"/>
        <w:numPr>
          <w:ilvl w:val="0"/>
          <w:numId w:val="2"/>
        </w:numPr>
        <w:tabs>
          <w:tab w:val="left" w:pos="2796"/>
        </w:tabs>
        <w:bidi w:val="0"/>
        <w:spacing w:before="0" w:beforeLines="0" w:beforeAutospacing="0" w:after="0" w:afterLines="0" w:afterAutospacing="0" w:line="360" w:lineRule="auto"/>
        <w:rPr>
          <w:rFonts w:hint="eastAsia"/>
          <w:lang w:val="en-US" w:eastAsia="zh-CN"/>
        </w:rPr>
      </w:pPr>
      <w:bookmarkStart w:id="6" w:name="_Toc5585"/>
      <w:r>
        <w:rPr>
          <w:rFonts w:hint="eastAsia"/>
          <w:lang w:val="en-US" w:eastAsia="zh-CN"/>
        </w:rPr>
        <w:t>空间</w:t>
      </w:r>
      <w:bookmarkEnd w:id="6"/>
    </w:p>
    <w:p w14:paraId="67E05695">
      <w:pPr>
        <w:bidi w:val="0"/>
        <w:spacing w:beforeAutospacing="0"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左上角“空间”，进入个人设置页面，功能包括：基本信息、我的办件、我的服务。</w:t>
      </w:r>
    </w:p>
    <w:p w14:paraId="275BDA8A">
      <w:pPr>
        <w:spacing w:afterAutospacing="0" w:line="360" w:lineRule="auto"/>
      </w:pPr>
      <w:r>
        <w:drawing>
          <wp:inline distT="0" distB="0" distL="114300" distR="114300">
            <wp:extent cx="5039995" cy="2032000"/>
            <wp:effectExtent l="0" t="0" r="4445" b="1016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C4E5">
      <w:pPr>
        <w:pStyle w:val="5"/>
        <w:numPr>
          <w:ilvl w:val="0"/>
          <w:numId w:val="0"/>
        </w:numPr>
        <w:bidi w:val="0"/>
        <w:spacing w:before="0" w:beforeLines="0" w:beforeAutospacing="0" w:after="0" w:afterLines="0" w:afterAutospacing="0"/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1.1基本信息</w:t>
      </w:r>
    </w:p>
    <w:p w14:paraId="129A25D3">
      <w:pPr>
        <w:numPr>
          <w:ilvl w:val="0"/>
          <w:numId w:val="0"/>
        </w:numPr>
        <w:bidi w:val="0"/>
        <w:spacing w:beforeAutospacing="0"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点击“基本信息”进入基本信息查看修改页面，支持修改联系方式、邮箱信息。 </w:t>
      </w:r>
    </w:p>
    <w:p w14:paraId="0AEDE70B">
      <w:pPr>
        <w:numPr>
          <w:ilvl w:val="0"/>
          <w:numId w:val="0"/>
        </w:numPr>
        <w:bidi w:val="0"/>
        <w:spacing w:beforeAutospacing="0"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点击页面“更换角色”可以更换虚拟人物的性别、造型等形象。</w:t>
      </w:r>
    </w:p>
    <w:p w14:paraId="6B9A8B59">
      <w:pPr>
        <w:numPr>
          <w:ilvl w:val="0"/>
          <w:numId w:val="0"/>
        </w:numPr>
        <w:bidi w:val="0"/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点击页面“退出登录”可以退出系统。</w:t>
      </w:r>
    </w:p>
    <w:p w14:paraId="4BA73770">
      <w:pPr>
        <w:numPr>
          <w:ilvl w:val="0"/>
          <w:numId w:val="0"/>
        </w:numPr>
        <w:bidi w:val="0"/>
        <w:spacing w:afterAutospacing="0" w:line="360" w:lineRule="auto"/>
      </w:pPr>
      <w:r>
        <w:drawing>
          <wp:inline distT="0" distB="0" distL="114300" distR="114300">
            <wp:extent cx="5039995" cy="2289810"/>
            <wp:effectExtent l="0" t="0" r="4445" b="1143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B815E">
      <w:pPr>
        <w:pStyle w:val="5"/>
        <w:numPr>
          <w:ilvl w:val="0"/>
          <w:numId w:val="0"/>
        </w:numPr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1.2我的办件</w:t>
      </w:r>
    </w:p>
    <w:p w14:paraId="2EBC78C6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点击“我的办件”可以查询交易系统中的待办事项。</w:t>
      </w:r>
    </w:p>
    <w:p w14:paraId="2D81AB3B">
      <w:pPr>
        <w:numPr>
          <w:ilvl w:val="0"/>
          <w:numId w:val="0"/>
        </w:numPr>
        <w:bidi w:val="0"/>
        <w:spacing w:afterAutospacing="0" w:line="360" w:lineRule="auto"/>
        <w:ind w:leftChars="0"/>
      </w:pPr>
      <w:r>
        <w:drawing>
          <wp:inline distT="0" distB="0" distL="114300" distR="114300">
            <wp:extent cx="5039995" cy="2160270"/>
            <wp:effectExtent l="0" t="0" r="4445" b="381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EF36">
      <w:pPr>
        <w:pStyle w:val="5"/>
        <w:numPr>
          <w:ilvl w:val="0"/>
          <w:numId w:val="0"/>
        </w:numPr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1.3我的服务</w:t>
      </w:r>
    </w:p>
    <w:p w14:paraId="280A0E9C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点击“我的服务”进入服务模块，该模块分为：我的收藏、项目投诉、我的消息。点击“我的收藏”展示用户收藏的公告信息，点击“☆”取消收藏；</w:t>
      </w:r>
    </w:p>
    <w:p w14:paraId="389B3DB2">
      <w:pPr>
        <w:numPr>
          <w:ilvl w:val="0"/>
          <w:numId w:val="0"/>
        </w:numPr>
        <w:bidi w:val="0"/>
        <w:spacing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点击“项目投诉”展示用户的项目投诉信息；</w:t>
      </w:r>
    </w:p>
    <w:p w14:paraId="2AF82EEC">
      <w:pPr>
        <w:numPr>
          <w:ilvl w:val="0"/>
          <w:numId w:val="0"/>
        </w:numPr>
        <w:bidi w:val="0"/>
        <w:spacing w:line="360" w:lineRule="auto"/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点击“我的消息”展示用户的消息信息。</w:t>
      </w:r>
    </w:p>
    <w:p w14:paraId="3A84C23D">
      <w:pPr>
        <w:numPr>
          <w:ilvl w:val="0"/>
          <w:numId w:val="0"/>
        </w:numPr>
        <w:bidi w:val="0"/>
        <w:spacing w:afterAutospacing="0" w:line="360" w:lineRule="auto"/>
        <w:ind w:leftChars="0"/>
      </w:pPr>
      <w:r>
        <w:drawing>
          <wp:inline distT="0" distB="0" distL="114300" distR="114300">
            <wp:extent cx="5039995" cy="2160270"/>
            <wp:effectExtent l="0" t="0" r="4445" b="38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786E">
      <w:pPr>
        <w:pStyle w:val="4"/>
        <w:numPr>
          <w:ilvl w:val="0"/>
          <w:numId w:val="2"/>
        </w:numPr>
        <w:bidi w:val="0"/>
        <w:spacing w:after="0" w:afterLines="0" w:afterAutospacing="0"/>
        <w:rPr>
          <w:rFonts w:hint="eastAsia"/>
          <w:lang w:val="en-US" w:eastAsia="zh-CN"/>
        </w:rPr>
      </w:pPr>
      <w:bookmarkStart w:id="7" w:name="_Toc12330"/>
      <w:r>
        <w:rPr>
          <w:rFonts w:hint="eastAsia"/>
          <w:lang w:val="en-US" w:eastAsia="zh-CN"/>
        </w:rPr>
        <w:t>引导功能</w:t>
      </w:r>
      <w:bookmarkEnd w:id="7"/>
    </w:p>
    <w:p w14:paraId="200D2395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</w:t>
      </w:r>
      <w:r>
        <w:rPr>
          <w:rFonts w:hint="eastAsia"/>
          <w:b w:val="0"/>
          <w:lang w:val="en-US" w:eastAsia="zh-CN"/>
        </w:rPr>
        <w:t>数字化服务大厅”</w:t>
      </w:r>
      <w:r>
        <w:rPr>
          <w:rFonts w:hint="eastAsia"/>
          <w:lang w:val="en-US" w:eastAsia="zh-CN"/>
        </w:rPr>
        <w:t>上方展示了大厅的相关引导功能，包括：公告、操作指引、全屏、视频引导、静音、反馈邮箱。</w:t>
      </w:r>
    </w:p>
    <w:p w14:paraId="1A9621B9">
      <w:pPr>
        <w:numPr>
          <w:ilvl w:val="0"/>
          <w:numId w:val="0"/>
        </w:numPr>
        <w:bidi w:val="0"/>
        <w:spacing w:afterAutospacing="0" w:line="360" w:lineRule="auto"/>
        <w:ind w:leftChars="0"/>
      </w:pPr>
      <w:r>
        <w:drawing>
          <wp:inline distT="0" distB="0" distL="114300" distR="114300">
            <wp:extent cx="5039995" cy="1590040"/>
            <wp:effectExtent l="0" t="0" r="4445" b="1016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5981">
      <w:pPr>
        <w:pStyle w:val="5"/>
        <w:bidi w:val="0"/>
        <w:spacing w:before="0" w:beforeLines="0" w:beforeAutospacing="0" w:after="0" w:afterLines="0" w:afterAutospacing="0"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2.1.公告</w:t>
      </w:r>
    </w:p>
    <w:p w14:paraId="154CA0AA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点击服务大厅上方的“公告”，可以查看交易系统所有的公告信息。</w:t>
      </w:r>
    </w:p>
    <w:p w14:paraId="179858E0">
      <w:pPr>
        <w:numPr>
          <w:ilvl w:val="0"/>
          <w:numId w:val="0"/>
        </w:numPr>
        <w:bidi w:val="0"/>
        <w:spacing w:line="360" w:lineRule="auto"/>
        <w:ind w:leftChars="0"/>
      </w:pPr>
      <w:r>
        <w:drawing>
          <wp:inline distT="0" distB="0" distL="114300" distR="114300">
            <wp:extent cx="5039995" cy="2160270"/>
            <wp:effectExtent l="0" t="0" r="4445" b="381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AEE0">
      <w:pPr>
        <w:numPr>
          <w:ilvl w:val="0"/>
          <w:numId w:val="0"/>
        </w:numPr>
        <w:bidi w:val="0"/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可以选择想要收藏的公告信息，点击“☆”收藏公告信息，被收藏的公告可在“空间”-“我的服务”-“我的收藏”查看。</w:t>
      </w:r>
    </w:p>
    <w:p w14:paraId="07D57BC8">
      <w:pPr>
        <w:numPr>
          <w:ilvl w:val="0"/>
          <w:numId w:val="0"/>
        </w:numPr>
        <w:bidi w:val="0"/>
        <w:spacing w:afterAutospacing="0" w:line="360" w:lineRule="auto"/>
        <w:ind w:leftChars="0"/>
      </w:pPr>
      <w:r>
        <w:drawing>
          <wp:inline distT="0" distB="0" distL="114300" distR="114300">
            <wp:extent cx="5039995" cy="2160270"/>
            <wp:effectExtent l="0" t="0" r="4445" b="381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6D7B">
      <w:pPr>
        <w:pStyle w:val="5"/>
        <w:numPr>
          <w:ilvl w:val="0"/>
          <w:numId w:val="0"/>
        </w:numPr>
        <w:bidi w:val="0"/>
        <w:spacing w:before="0" w:beforeLines="0" w:beforeAutospacing="0" w:after="0" w:afterLines="0" w:afterAutospacing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2.2.操作引导</w:t>
      </w:r>
    </w:p>
    <w:p w14:paraId="38EF414B">
      <w:pPr>
        <w:numPr>
          <w:ilvl w:val="0"/>
          <w:numId w:val="0"/>
        </w:numPr>
        <w:bidi w:val="0"/>
        <w:spacing w:beforeAutospacing="0"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点击“操作引导”可以查看大厅的操作流程。</w:t>
      </w:r>
    </w:p>
    <w:p w14:paraId="69757FD7">
      <w:pPr>
        <w:numPr>
          <w:ilvl w:val="0"/>
          <w:numId w:val="0"/>
        </w:numPr>
        <w:bidi w:val="0"/>
        <w:spacing w:afterAutospacing="0" w:line="360" w:lineRule="auto"/>
      </w:pPr>
      <w:r>
        <w:drawing>
          <wp:inline distT="0" distB="0" distL="114300" distR="114300">
            <wp:extent cx="5039995" cy="2160270"/>
            <wp:effectExtent l="0" t="0" r="4445" b="3810"/>
            <wp:docPr id="1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0E27">
      <w:pPr>
        <w:pStyle w:val="5"/>
        <w:numPr>
          <w:ilvl w:val="0"/>
          <w:numId w:val="0"/>
        </w:numPr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2.3.全屏</w:t>
      </w:r>
    </w:p>
    <w:p w14:paraId="39FE4C02">
      <w:pPr>
        <w:numPr>
          <w:ilvl w:val="0"/>
          <w:numId w:val="0"/>
        </w:numPr>
        <w:bidi w:val="0"/>
        <w:spacing w:beforeAutospacing="0" w:afterAutospacing="0"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点击“全屏”可以将系统全屏展示。</w:t>
      </w:r>
    </w:p>
    <w:p w14:paraId="5DF40CAB">
      <w:pPr>
        <w:pStyle w:val="5"/>
        <w:numPr>
          <w:ilvl w:val="0"/>
          <w:numId w:val="0"/>
        </w:numPr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2.4.视频引导</w:t>
      </w:r>
    </w:p>
    <w:p w14:paraId="59A14014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点击“视频引导”可以查看系统内发布的操作视频。</w:t>
      </w:r>
    </w:p>
    <w:p w14:paraId="7E14F115">
      <w:pPr>
        <w:numPr>
          <w:ilvl w:val="0"/>
          <w:numId w:val="0"/>
        </w:numPr>
        <w:bidi w:val="0"/>
        <w:spacing w:afterAutospacing="0" w:line="360" w:lineRule="auto"/>
        <w:ind w:leftChars="0"/>
      </w:pPr>
      <w:r>
        <w:drawing>
          <wp:inline distT="0" distB="0" distL="114300" distR="114300">
            <wp:extent cx="5039995" cy="2160270"/>
            <wp:effectExtent l="0" t="0" r="4445" b="3810"/>
            <wp:docPr id="1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61FA">
      <w:pPr>
        <w:pStyle w:val="5"/>
        <w:numPr>
          <w:ilvl w:val="0"/>
          <w:numId w:val="0"/>
        </w:numPr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2.5静音</w:t>
      </w:r>
    </w:p>
    <w:p w14:paraId="7623F6A4">
      <w:pPr>
        <w:numPr>
          <w:ilvl w:val="0"/>
          <w:numId w:val="0"/>
        </w:numPr>
        <w:bidi w:val="0"/>
        <w:spacing w:beforeAutospacing="0" w:afterAutospacing="0"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点击“静音”可以将系统设置为静音或者解除静音。</w:t>
      </w:r>
    </w:p>
    <w:p w14:paraId="4B1538FE">
      <w:pPr>
        <w:pStyle w:val="5"/>
        <w:numPr>
          <w:ilvl w:val="0"/>
          <w:numId w:val="0"/>
        </w:numPr>
        <w:bidi w:val="0"/>
        <w:spacing w:before="0" w:beforeLines="0" w:beforeAutospacing="0" w:after="0" w:afterLines="0" w:afterAutospacing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2.6反馈邮箱</w:t>
      </w:r>
    </w:p>
    <w:p w14:paraId="4900AE3E">
      <w:pPr>
        <w:numPr>
          <w:ilvl w:val="0"/>
          <w:numId w:val="0"/>
        </w:numPr>
        <w:bidi w:val="0"/>
        <w:spacing w:beforeAutospacing="0" w:afterAutospacing="0" w:line="360" w:lineRule="auto"/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点击“反馈邮箱”可以查看中心官方邮箱地址，反馈问题或建议。</w:t>
      </w:r>
    </w:p>
    <w:p w14:paraId="2A11E59A">
      <w:pPr>
        <w:pStyle w:val="4"/>
        <w:numPr>
          <w:ilvl w:val="0"/>
          <w:numId w:val="2"/>
        </w:numPr>
        <w:bidi w:val="0"/>
        <w:spacing w:before="0" w:beforeLines="0" w:beforeAutospacing="0" w:after="0" w:afterLines="0" w:afterAutospacing="0"/>
        <w:rPr>
          <w:rFonts w:hint="default"/>
          <w:lang w:val="en-US" w:eastAsia="zh-CN"/>
        </w:rPr>
      </w:pPr>
      <w:bookmarkStart w:id="8" w:name="_Toc15297"/>
      <w:r>
        <w:rPr>
          <w:rFonts w:hint="eastAsia"/>
          <w:lang w:val="en-US" w:eastAsia="zh-CN"/>
        </w:rPr>
        <w:t>主功能</w:t>
      </w:r>
      <w:bookmarkEnd w:id="8"/>
    </w:p>
    <w:p w14:paraId="212565F2">
      <w:pPr>
        <w:pStyle w:val="5"/>
        <w:bidi w:val="0"/>
        <w:spacing w:before="0" w:beforeLines="0" w:beforeAutospacing="0" w:after="0" w:afterLines="0" w:afterAutospacing="0"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3.1代理机构（</w:t>
      </w:r>
      <w:r>
        <w:rPr>
          <w:rFonts w:hint="eastAsia" w:asciiTheme="minorHAnsi" w:eastAsiaTheme="minorEastAsia"/>
          <w:lang w:val="en-US" w:eastAsia="zh-CN"/>
        </w:rPr>
        <w:t>招标人</w:t>
      </w:r>
      <w:r>
        <w:rPr>
          <w:rFonts w:hint="eastAsia"/>
          <w:lang w:val="en-US" w:eastAsia="zh-CN"/>
        </w:rPr>
        <w:t>）主功能</w:t>
      </w:r>
    </w:p>
    <w:p w14:paraId="598E263B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  <w:rPr>
          <w:rFonts w:hint="eastAsia" w:eastAsia="仿宋_GB2312" w:asciiTheme="minorAscii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通过CA登录后，当使用“代理机构”、“招标人”角色进入</w:t>
      </w:r>
      <w:r>
        <w:rPr>
          <w:rFonts w:hint="eastAsia" w:eastAsia="仿宋_GB2312" w:asciiTheme="minorAscii"/>
          <w:b w:val="0"/>
          <w:lang w:val="en-US" w:eastAsia="zh-CN"/>
        </w:rPr>
        <w:t>“数字化服务大厅”</w:t>
      </w:r>
      <w:r>
        <w:rPr>
          <w:rFonts w:hint="eastAsia"/>
          <w:b w:val="0"/>
          <w:lang w:val="en-US" w:eastAsia="zh-CN"/>
        </w:rPr>
        <w:t>，大厅下方</w:t>
      </w:r>
      <w:r>
        <w:rPr>
          <w:rFonts w:hint="eastAsia" w:eastAsia="仿宋_GB2312" w:asciiTheme="minorAscii"/>
          <w:b w:val="0"/>
          <w:lang w:val="en-US" w:eastAsia="zh-CN"/>
        </w:rPr>
        <w:t>展示了大厅的</w:t>
      </w:r>
      <w:r>
        <w:rPr>
          <w:rFonts w:hint="eastAsia"/>
          <w:b w:val="0"/>
          <w:lang w:val="en-US" w:eastAsia="zh-CN"/>
        </w:rPr>
        <w:t>主要项目</w:t>
      </w:r>
      <w:r>
        <w:rPr>
          <w:rFonts w:hint="eastAsia" w:eastAsia="仿宋_GB2312" w:asciiTheme="minorAscii"/>
          <w:b w:val="0"/>
          <w:lang w:val="en-US" w:eastAsia="zh-CN"/>
        </w:rPr>
        <w:t>功能，包括：</w:t>
      </w:r>
      <w:r>
        <w:rPr>
          <w:rFonts w:hint="eastAsia"/>
          <w:b w:val="0"/>
          <w:lang w:val="en-US" w:eastAsia="zh-CN"/>
        </w:rPr>
        <w:t>项目注册</w:t>
      </w:r>
      <w:r>
        <w:rPr>
          <w:rFonts w:hint="eastAsia" w:eastAsia="仿宋_GB2312" w:asciiTheme="minorAscii"/>
          <w:b w:val="0"/>
          <w:lang w:val="en-US" w:eastAsia="zh-CN"/>
        </w:rPr>
        <w:t>、</w:t>
      </w:r>
      <w:r>
        <w:rPr>
          <w:rFonts w:hint="eastAsia"/>
          <w:b w:val="0"/>
          <w:lang w:val="en-US" w:eastAsia="zh-CN"/>
        </w:rPr>
        <w:t>项目备案</w:t>
      </w:r>
      <w:r>
        <w:rPr>
          <w:rFonts w:hint="eastAsia" w:eastAsia="仿宋_GB2312" w:asciiTheme="minorAscii"/>
          <w:b w:val="0"/>
          <w:lang w:val="en-US" w:eastAsia="zh-CN"/>
        </w:rPr>
        <w:t>、</w:t>
      </w:r>
      <w:r>
        <w:rPr>
          <w:rFonts w:hint="eastAsia"/>
          <w:b w:val="0"/>
          <w:lang w:val="en-US" w:eastAsia="zh-CN"/>
        </w:rPr>
        <w:t>招标公告发布</w:t>
      </w:r>
      <w:r>
        <w:rPr>
          <w:rFonts w:hint="eastAsia" w:eastAsia="仿宋_GB2312" w:asciiTheme="minorAscii"/>
          <w:b w:val="0"/>
          <w:lang w:val="en-US" w:eastAsia="zh-CN"/>
        </w:rPr>
        <w:t>、</w:t>
      </w:r>
      <w:r>
        <w:rPr>
          <w:rFonts w:hint="eastAsia"/>
          <w:b w:val="0"/>
          <w:lang w:val="en-US" w:eastAsia="zh-CN"/>
        </w:rPr>
        <w:t>场地预约</w:t>
      </w:r>
      <w:r>
        <w:rPr>
          <w:rFonts w:hint="eastAsia" w:eastAsia="仿宋_GB2312" w:asciiTheme="minorAscii"/>
          <w:b w:val="0"/>
          <w:lang w:val="en-US" w:eastAsia="zh-CN"/>
        </w:rPr>
        <w:t>、</w:t>
      </w:r>
      <w:r>
        <w:rPr>
          <w:rFonts w:hint="eastAsia"/>
          <w:b w:val="0"/>
          <w:lang w:val="en-US" w:eastAsia="zh-CN"/>
        </w:rPr>
        <w:t>项目投诉</w:t>
      </w:r>
      <w:r>
        <w:rPr>
          <w:rFonts w:hint="eastAsia" w:eastAsia="仿宋_GB2312" w:asciiTheme="minorAscii"/>
          <w:b w:val="0"/>
          <w:lang w:val="en-US" w:eastAsia="zh-CN"/>
        </w:rPr>
        <w:t>。</w:t>
      </w:r>
    </w:p>
    <w:p w14:paraId="54E35C5C">
      <w:pPr>
        <w:numPr>
          <w:ilvl w:val="0"/>
          <w:numId w:val="0"/>
        </w:numPr>
        <w:bidi w:val="0"/>
        <w:spacing w:line="360" w:lineRule="auto"/>
        <w:ind w:leftChars="0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039995" cy="2160270"/>
            <wp:effectExtent l="0" t="0" r="4445" b="3810"/>
            <wp:docPr id="1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E15DE">
      <w:pPr>
        <w:numPr>
          <w:ilvl w:val="0"/>
          <w:numId w:val="0"/>
        </w:numPr>
        <w:bidi w:val="0"/>
        <w:spacing w:line="360" w:lineRule="auto"/>
        <w:ind w:firstLine="480" w:firstLineChars="200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eastAsia="仿宋_GB2312" w:asciiTheme="minorAscii"/>
          <w:b w:val="0"/>
          <w:lang w:val="en-US" w:eastAsia="zh-CN"/>
        </w:rPr>
        <w:t>点击“项目注册”跳转到交易系统项目注册页面，可以进行项目的注册操作。</w:t>
      </w:r>
    </w:p>
    <w:p w14:paraId="09069D22">
      <w:pPr>
        <w:numPr>
          <w:ilvl w:val="0"/>
          <w:numId w:val="0"/>
        </w:numPr>
        <w:bidi w:val="0"/>
        <w:spacing w:line="360" w:lineRule="auto"/>
        <w:ind w:leftChars="0" w:firstLine="480" w:firstLineChars="200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eastAsia="仿宋_GB2312" w:asciiTheme="minorAscii"/>
          <w:b w:val="0"/>
          <w:lang w:val="en-US" w:eastAsia="zh-CN"/>
        </w:rPr>
        <w:t>点击“项目备案”跳转到交易系统的项目备案页面，可以进行项目的备案操作。</w:t>
      </w:r>
    </w:p>
    <w:p w14:paraId="42818442">
      <w:pPr>
        <w:numPr>
          <w:ilvl w:val="0"/>
          <w:numId w:val="0"/>
        </w:numPr>
        <w:bidi w:val="0"/>
        <w:spacing w:line="360" w:lineRule="auto"/>
        <w:ind w:leftChars="0" w:firstLine="480" w:firstLineChars="200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eastAsia="仿宋_GB2312" w:asciiTheme="minorAscii"/>
          <w:b w:val="0"/>
          <w:lang w:val="en-US" w:eastAsia="zh-CN"/>
        </w:rPr>
        <w:t>点击“招标公告发布”跳转到交易系统的招标公告列表页面，可以进行项目的招标公告发布操作。</w:t>
      </w:r>
    </w:p>
    <w:p w14:paraId="379C9FB2">
      <w:pPr>
        <w:numPr>
          <w:ilvl w:val="0"/>
          <w:numId w:val="0"/>
        </w:numPr>
        <w:bidi w:val="0"/>
        <w:spacing w:line="360" w:lineRule="auto"/>
        <w:ind w:leftChars="0" w:firstLine="480" w:firstLineChars="200"/>
        <w:rPr>
          <w:rFonts w:hint="eastAsia" w:ascii="Arial" w:hAnsi="Arial" w:eastAsia="黑体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eastAsia="仿宋_GB2312" w:asciiTheme="minorAscii"/>
          <w:b w:val="0"/>
          <w:lang w:val="en-US" w:eastAsia="zh-CN"/>
        </w:rPr>
        <w:t>点击“场地预约”跳转到交易系统的场地预约页面，可以进行项目的场地预约操作。</w:t>
      </w:r>
    </w:p>
    <w:p w14:paraId="3B86B475">
      <w:pPr>
        <w:numPr>
          <w:ilvl w:val="0"/>
          <w:numId w:val="0"/>
        </w:numPr>
        <w:bidi w:val="0"/>
        <w:spacing w:afterAutospacing="0" w:line="360" w:lineRule="auto"/>
        <w:ind w:leftChars="0" w:firstLine="480" w:firstLineChars="200"/>
        <w:rPr>
          <w:rFonts w:hint="eastAsia" w:eastAsia="仿宋_GB2312" w:asciiTheme="minorAscii"/>
          <w:b w:val="0"/>
          <w:lang w:val="en-US" w:eastAsia="zh-CN"/>
        </w:rPr>
      </w:pPr>
      <w:r>
        <w:rPr>
          <w:rFonts w:hint="eastAsia" w:eastAsia="仿宋_GB2312" w:asciiTheme="minorAscii"/>
          <w:b w:val="0"/>
          <w:lang w:val="en-US" w:eastAsia="zh-CN"/>
        </w:rPr>
        <w:t>点击“项目投诉”跳转到交易系统的项目投诉页面，可以进行项目的投诉操作。</w:t>
      </w:r>
    </w:p>
    <w:p w14:paraId="1B71D0EF">
      <w:pPr>
        <w:pStyle w:val="5"/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3.2投标人主功能</w:t>
      </w:r>
    </w:p>
    <w:p w14:paraId="46904BF6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  <w:rPr>
          <w:rFonts w:hint="eastAsia" w:eastAsia="仿宋_GB2312" w:asciiTheme="minorAscii"/>
          <w:b w:val="0"/>
          <w:lang w:val="en-US" w:eastAsia="zh-CN"/>
        </w:rPr>
      </w:pPr>
      <w:r>
        <w:rPr>
          <w:rFonts w:hint="eastAsia" w:eastAsia="仿宋_GB2312" w:asciiTheme="minorAscii"/>
          <w:b w:val="0"/>
          <w:lang w:val="en-US" w:eastAsia="zh-CN"/>
        </w:rPr>
        <w:t>当使用“</w:t>
      </w:r>
      <w:r>
        <w:rPr>
          <w:rFonts w:hint="eastAsia"/>
          <w:b w:val="0"/>
          <w:lang w:val="en-US" w:eastAsia="zh-CN"/>
        </w:rPr>
        <w:t>投标人</w:t>
      </w:r>
      <w:r>
        <w:rPr>
          <w:rFonts w:hint="eastAsia" w:eastAsia="仿宋_GB2312" w:asciiTheme="minorAscii"/>
          <w:b w:val="0"/>
          <w:lang w:val="en-US" w:eastAsia="zh-CN"/>
        </w:rPr>
        <w:t>”角色进入“数字化服务大厅”，大厅下方展示了大厅的主要项目功能包括：</w:t>
      </w:r>
      <w:r>
        <w:rPr>
          <w:rFonts w:hint="eastAsia"/>
          <w:b w:val="0"/>
          <w:lang w:val="en-US" w:eastAsia="zh-CN"/>
        </w:rPr>
        <w:t>投标登记、金融服务、CA办理、项目投诉</w:t>
      </w:r>
      <w:r>
        <w:rPr>
          <w:rFonts w:hint="eastAsia" w:eastAsia="仿宋_GB2312" w:asciiTheme="minorAscii"/>
          <w:b w:val="0"/>
          <w:lang w:val="en-US" w:eastAsia="zh-CN"/>
        </w:rPr>
        <w:t>。</w:t>
      </w:r>
    </w:p>
    <w:p w14:paraId="3C94F6AB">
      <w:pPr>
        <w:numPr>
          <w:ilvl w:val="0"/>
          <w:numId w:val="0"/>
        </w:numPr>
        <w:bidi w:val="0"/>
        <w:spacing w:line="360" w:lineRule="auto"/>
      </w:pPr>
      <w:r>
        <w:drawing>
          <wp:inline distT="0" distB="0" distL="114300" distR="114300">
            <wp:extent cx="5039995" cy="2160270"/>
            <wp:effectExtent l="0" t="0" r="4445" b="3810"/>
            <wp:docPr id="22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4D8E">
      <w:pPr>
        <w:numPr>
          <w:ilvl w:val="0"/>
          <w:numId w:val="0"/>
        </w:numPr>
        <w:bidi w:val="0"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点击“投标登记”跳转至交易系统-交易公告页面，可以选择项目进行投标信息填报。</w:t>
      </w:r>
    </w:p>
    <w:p w14:paraId="512B5A70">
      <w:pPr>
        <w:numPr>
          <w:ilvl w:val="0"/>
          <w:numId w:val="0"/>
        </w:numPr>
        <w:bidi w:val="0"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点击“金融服务”跳转至“泉融通”金融服务系统，可以办理金融服务业务。</w:t>
      </w:r>
    </w:p>
    <w:p w14:paraId="731172DA">
      <w:pPr>
        <w:numPr>
          <w:ilvl w:val="0"/>
          <w:numId w:val="0"/>
        </w:numPr>
        <w:bidi w:val="0"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点击“CA办理”跳转至CA办理服务大厅。</w:t>
      </w:r>
    </w:p>
    <w:p w14:paraId="11A47D9C">
      <w:pPr>
        <w:numPr>
          <w:ilvl w:val="0"/>
          <w:numId w:val="0"/>
        </w:numPr>
        <w:bidi w:val="0"/>
        <w:spacing w:afterAutospacing="0"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点击“项目投诉”跳转至交易系统-项目投诉功能页面，可选择参与过的项目进行投诉登记。</w:t>
      </w:r>
    </w:p>
    <w:p w14:paraId="7E3B1374">
      <w:pPr>
        <w:pStyle w:val="4"/>
        <w:numPr>
          <w:ilvl w:val="0"/>
          <w:numId w:val="2"/>
        </w:numPr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9" w:name="_Toc11021"/>
      <w:r>
        <w:rPr>
          <w:rFonts w:hint="eastAsia"/>
          <w:lang w:val="en-US" w:eastAsia="zh-CN"/>
        </w:rPr>
        <w:t>智能管家</w:t>
      </w:r>
      <w:bookmarkEnd w:id="9"/>
    </w:p>
    <w:p w14:paraId="3F851CA1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4.1智能问答</w:t>
      </w:r>
    </w:p>
    <w:p w14:paraId="3293E913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  <w:rPr>
          <w:rFonts w:hint="default"/>
          <w:b w:val="0"/>
          <w:lang w:val="en-US" w:eastAsia="zh-CN"/>
        </w:rPr>
      </w:pPr>
      <w:r>
        <w:rPr>
          <w:rFonts w:hint="eastAsia"/>
          <w:b w:val="0"/>
          <w:lang w:val="en-US" w:eastAsia="zh-CN"/>
        </w:rPr>
        <w:t>点击大厅右下角“智能管家”数字人，进入智能问答页面。可以输入系统操作问题等，智能客服会给予答案回复或操作指引。招标代理或者投标人通过CA登录后，也可以发送如“我要发布招标公告、我要制作招标文件、我要领取招标文件、我要上传投标文件、我要领取中标通知书”等常见业务办理流程指令，智能客服会直接弹出相应业务办理页面，实现业务的快速办理。</w:t>
      </w:r>
    </w:p>
    <w:p w14:paraId="76FCD3D9">
      <w:pPr>
        <w:numPr>
          <w:ilvl w:val="0"/>
          <w:numId w:val="0"/>
        </w:numPr>
        <w:bidi w:val="0"/>
        <w:spacing w:line="360" w:lineRule="auto"/>
        <w:ind w:leftChars="0"/>
      </w:pPr>
      <w:r>
        <w:drawing>
          <wp:inline distT="0" distB="0" distL="114300" distR="114300">
            <wp:extent cx="5039995" cy="2456815"/>
            <wp:effectExtent l="0" t="0" r="4445" b="1206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082D4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 政策法规助手</w:t>
      </w:r>
    </w:p>
    <w:p w14:paraId="2EAE6D2F">
      <w:pPr>
        <w:numPr>
          <w:ilvl w:val="0"/>
          <w:numId w:val="0"/>
        </w:numPr>
        <w:bidi w:val="0"/>
        <w:spacing w:line="360" w:lineRule="auto"/>
        <w:ind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如需咨询招投标政策法规，在输入问题后左下角切换至“政策法规助手”并发送问题。智能助手会依据知识库及大模型智能生成答案，为用户提供参考。</w:t>
      </w:r>
    </w:p>
    <w:p w14:paraId="6FAB3129">
      <w:pPr>
        <w:numPr>
          <w:ilvl w:val="0"/>
          <w:numId w:val="0"/>
        </w:numPr>
        <w:bidi w:val="0"/>
        <w:spacing w:afterAutospacing="0"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039995" cy="2160270"/>
            <wp:effectExtent l="0" t="0" r="4445" b="3810"/>
            <wp:docPr id="21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30BC">
      <w:pPr>
        <w:pStyle w:val="4"/>
        <w:numPr>
          <w:ilvl w:val="0"/>
          <w:numId w:val="2"/>
        </w:numPr>
        <w:bidi w:val="0"/>
        <w:spacing w:before="0" w:beforeLines="0" w:beforeAutospacing="0" w:after="0" w:afterLines="0" w:afterAutospacing="0"/>
        <w:rPr>
          <w:rFonts w:hint="eastAsia"/>
          <w:lang w:val="en-US" w:eastAsia="zh-CN"/>
        </w:rPr>
      </w:pPr>
      <w:bookmarkStart w:id="10" w:name="_Toc294"/>
      <w:r>
        <w:rPr>
          <w:rFonts w:hint="eastAsia"/>
          <w:lang w:val="en-US" w:eastAsia="zh-CN"/>
        </w:rPr>
        <w:t>地图</w:t>
      </w:r>
      <w:bookmarkEnd w:id="10"/>
    </w:p>
    <w:p w14:paraId="32D19644">
      <w:pPr>
        <w:numPr>
          <w:ilvl w:val="0"/>
          <w:numId w:val="0"/>
        </w:numPr>
        <w:bidi w:val="0"/>
        <w:spacing w:beforeAutospacing="0" w:line="360" w:lineRule="auto"/>
        <w:ind w:leftChars="0" w:firstLine="480" w:firstLineChars="200"/>
      </w:pPr>
      <w:r>
        <w:rPr>
          <w:rFonts w:hint="eastAsia"/>
          <w:b w:val="0"/>
          <w:lang w:val="en-US" w:eastAsia="zh-CN"/>
        </w:rPr>
        <w:t>点击大厅右上角大厅名称，进入地图选择页面。</w:t>
      </w:r>
    </w:p>
    <w:p w14:paraId="56822C8A">
      <w:pPr>
        <w:numPr>
          <w:ilvl w:val="0"/>
          <w:numId w:val="0"/>
        </w:numPr>
        <w:bidi w:val="0"/>
        <w:spacing w:line="360" w:lineRule="auto"/>
        <w:ind w:leftChars="0"/>
      </w:pPr>
      <w:r>
        <w:drawing>
          <wp:inline distT="0" distB="0" distL="114300" distR="114300">
            <wp:extent cx="5039995" cy="2496820"/>
            <wp:effectExtent l="0" t="0" r="4445" b="254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2561">
      <w:pPr>
        <w:numPr>
          <w:ilvl w:val="0"/>
          <w:numId w:val="0"/>
        </w:numPr>
        <w:bidi w:val="0"/>
        <w:spacing w:line="360" w:lineRule="auto"/>
        <w:ind w:leftChars="0" w:firstLine="480" w:firstLineChars="20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可以选择不同的大厅切换进入其他大厅场景体验服务。</w:t>
      </w:r>
    </w:p>
    <w:p w14:paraId="0DFCF889">
      <w:pPr>
        <w:numPr>
          <w:ilvl w:val="0"/>
          <w:numId w:val="0"/>
        </w:numPr>
        <w:bidi w:val="0"/>
        <w:spacing w:afterAutospacing="0" w:line="360" w:lineRule="auto"/>
        <w:ind w:leftChars="0"/>
      </w:pPr>
      <w:r>
        <w:drawing>
          <wp:inline distT="0" distB="0" distL="114300" distR="114300">
            <wp:extent cx="5039995" cy="2160270"/>
            <wp:effectExtent l="0" t="0" r="4445" b="3810"/>
            <wp:docPr id="1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DECB"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3C368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C65870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+k1gw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+k1g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C65870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336B5D"/>
    <w:multiLevelType w:val="singleLevel"/>
    <w:tmpl w:val="21336B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CDC2449"/>
    <w:multiLevelType w:val="singleLevel"/>
    <w:tmpl w:val="5CDC244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34521"/>
    <w:rsid w:val="01B82438"/>
    <w:rsid w:val="01EC0334"/>
    <w:rsid w:val="057C377D"/>
    <w:rsid w:val="075306D3"/>
    <w:rsid w:val="07C1191B"/>
    <w:rsid w:val="09D973F0"/>
    <w:rsid w:val="0C9B098C"/>
    <w:rsid w:val="0E715E49"/>
    <w:rsid w:val="0F8120BC"/>
    <w:rsid w:val="0FE97C61"/>
    <w:rsid w:val="125C471A"/>
    <w:rsid w:val="13DC1FB6"/>
    <w:rsid w:val="15237771"/>
    <w:rsid w:val="154D2A40"/>
    <w:rsid w:val="15916DD0"/>
    <w:rsid w:val="187F1162"/>
    <w:rsid w:val="1A0916EC"/>
    <w:rsid w:val="1B811695"/>
    <w:rsid w:val="1BC05D1A"/>
    <w:rsid w:val="20C4122D"/>
    <w:rsid w:val="24A84E40"/>
    <w:rsid w:val="24DB5972"/>
    <w:rsid w:val="27196C26"/>
    <w:rsid w:val="29915199"/>
    <w:rsid w:val="2F95018C"/>
    <w:rsid w:val="2FFB511A"/>
    <w:rsid w:val="301B57BD"/>
    <w:rsid w:val="31210BB1"/>
    <w:rsid w:val="312E5E0A"/>
    <w:rsid w:val="31D73965"/>
    <w:rsid w:val="378679C0"/>
    <w:rsid w:val="397F6DBC"/>
    <w:rsid w:val="3B1D4ADF"/>
    <w:rsid w:val="3D0C0B50"/>
    <w:rsid w:val="3D347EBE"/>
    <w:rsid w:val="3DB01C3A"/>
    <w:rsid w:val="3E287A22"/>
    <w:rsid w:val="41894C7C"/>
    <w:rsid w:val="42613503"/>
    <w:rsid w:val="428611BC"/>
    <w:rsid w:val="446948F1"/>
    <w:rsid w:val="44DF2E05"/>
    <w:rsid w:val="46A65B0C"/>
    <w:rsid w:val="47940724"/>
    <w:rsid w:val="4A1E617D"/>
    <w:rsid w:val="4C7E4CB1"/>
    <w:rsid w:val="545C3B2A"/>
    <w:rsid w:val="55E02539"/>
    <w:rsid w:val="58313520"/>
    <w:rsid w:val="59367040"/>
    <w:rsid w:val="5AAE0E58"/>
    <w:rsid w:val="5AFF16B3"/>
    <w:rsid w:val="5B256A6B"/>
    <w:rsid w:val="5BD743DE"/>
    <w:rsid w:val="5C294C3A"/>
    <w:rsid w:val="5D436621"/>
    <w:rsid w:val="5D683540"/>
    <w:rsid w:val="5ED846F5"/>
    <w:rsid w:val="617C580C"/>
    <w:rsid w:val="64771E53"/>
    <w:rsid w:val="65206DF6"/>
    <w:rsid w:val="665705F5"/>
    <w:rsid w:val="668B029F"/>
    <w:rsid w:val="677B530C"/>
    <w:rsid w:val="67C95523"/>
    <w:rsid w:val="6A6D4E8D"/>
    <w:rsid w:val="6C755C79"/>
    <w:rsid w:val="6D392803"/>
    <w:rsid w:val="6DCA5B51"/>
    <w:rsid w:val="70622071"/>
    <w:rsid w:val="70983ACE"/>
    <w:rsid w:val="71A87F57"/>
    <w:rsid w:val="72071122"/>
    <w:rsid w:val="73EF1E6D"/>
    <w:rsid w:val="742E12AB"/>
    <w:rsid w:val="746B647A"/>
    <w:rsid w:val="78196C6A"/>
    <w:rsid w:val="78D6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_GB2312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新宋体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2"/>
    </w:pPr>
    <w:rPr>
      <w:rFonts w:eastAsia="黑体"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60" w:lineRule="auto"/>
      <w:outlineLvl w:val="3"/>
    </w:pPr>
    <w:rPr>
      <w:rFonts w:ascii="Arial" w:hAnsi="Arial" w:eastAsia="黑体"/>
      <w:b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3045</Words>
  <Characters>3186</Characters>
  <Lines>0</Lines>
  <Paragraphs>0</Paragraphs>
  <TotalTime>0</TotalTime>
  <ScaleCrop>false</ScaleCrop>
  <LinksUpToDate>false</LinksUpToDate>
  <CharactersWithSpaces>3220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2022-04-24T02:33:00Z</dcterms:created>
  <dc:creator>admin_syt</dc:creator>
  <cp:lastModifiedBy>sjianan</cp:lastModifiedBy>
  <dcterms:modified xsi:type="dcterms:W3CDTF">2025-07-21T09:17:09Z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D3A246D7A029492D94326801824AFC55</vt:lpwstr>
  </property>
  <property fmtid="{D5CDD505-2E9C-101B-9397-08002B2CF9AE}" pid="4" name="KSOTemplateDocerSaveRecord">
    <vt:lpwstr>eyJoZGlkIjoiNDZkMDBiODhiN2ZkMmU0ZWRmMDMzMzg3NmQ0MTViMmQiLCJ1c2VySWQiOiI0NDI4Njk4MTEifQ==</vt:lpwstr>
  </property>
</Properties>
</file>