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1C2BA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</w:pPr>
      <w:bookmarkStart w:id="0" w:name="_Toc533861963"/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  <w:t>济南公共资源交易中心</w:t>
      </w:r>
    </w:p>
    <w:p w14:paraId="239D8E0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val="en-US" w:eastAsia="zh-CN" w:bidi="ar"/>
        </w:rPr>
        <w:t>矿业权交易系统操作指南</w:t>
      </w:r>
      <w:bookmarkStart w:id="1" w:name="_Toc22874"/>
      <w:bookmarkStart w:id="2" w:name="_Toc13975"/>
    </w:p>
    <w:p w14:paraId="6E5F676E">
      <w:pPr>
        <w:pStyle w:val="2"/>
        <w:spacing w:before="0" w:after="0" w:line="360" w:lineRule="auto"/>
      </w:pPr>
      <w:r>
        <w:t>一</w:t>
      </w:r>
      <w:r>
        <w:rPr>
          <w:rFonts w:hint="eastAsia"/>
        </w:rPr>
        <w:t>、系统基础介绍</w:t>
      </w:r>
      <w:bookmarkEnd w:id="0"/>
      <w:bookmarkEnd w:id="1"/>
      <w:bookmarkEnd w:id="2"/>
    </w:p>
    <w:p w14:paraId="0103D499">
      <w:pPr>
        <w:pStyle w:val="1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济南公共资源交易电子平台-矿业权交易系统”（以下简称矿业权交易系统）主要面向招标人（招标代理机构）、竞买人等交易主体，服务于矿业权挂牌出让的全流程网上交易。力图规范和简化办事流程，提高办事效率。</w:t>
      </w:r>
      <w:bookmarkStart w:id="3" w:name="_Toc533861971"/>
      <w:bookmarkStart w:id="4" w:name="_Toc31853"/>
    </w:p>
    <w:bookmarkEnd w:id="3"/>
    <w:bookmarkEnd w:id="4"/>
    <w:p w14:paraId="0AFF9F4B">
      <w:pPr>
        <w:pStyle w:val="2"/>
        <w:numPr>
          <w:ilvl w:val="0"/>
          <w:numId w:val="1"/>
        </w:numPr>
        <w:spacing w:before="0" w:beforeAutospacing="0" w:after="0" w:line="360" w:lineRule="auto"/>
      </w:pPr>
      <w:bookmarkStart w:id="5" w:name="_Toc533861983"/>
      <w:r>
        <w:rPr>
          <w:rFonts w:hint="eastAsia"/>
          <w:lang w:val="en-US" w:eastAsia="zh-CN"/>
        </w:rPr>
        <w:t>中心操作指南</w:t>
      </w:r>
    </w:p>
    <w:bookmarkEnd w:id="5"/>
    <w:p w14:paraId="7B6C6A91">
      <w:pPr>
        <w:pStyle w:val="3"/>
        <w:spacing w:before="0" w:after="0" w:line="360" w:lineRule="auto"/>
      </w:pPr>
      <w:bookmarkStart w:id="6" w:name="_Toc32446"/>
      <w:bookmarkStart w:id="7" w:name="_Toc25333"/>
      <w:r>
        <w:rPr>
          <w:rFonts w:hint="eastAsia"/>
        </w:rPr>
        <w:t>（一）矿权交易</w:t>
      </w:r>
      <w:bookmarkEnd w:id="6"/>
      <w:bookmarkEnd w:id="7"/>
    </w:p>
    <w:p w14:paraId="0941496F">
      <w:pPr>
        <w:pStyle w:val="4"/>
        <w:spacing w:before="0" w:after="0" w:line="360" w:lineRule="auto"/>
        <w:ind w:firstLine="640" w:firstLineChars="200"/>
        <w:rPr>
          <w:rFonts w:hint="eastAsia" w:ascii="仿宋" w:hAnsi="仿宋" w:eastAsia="仿宋" w:cs="仿宋"/>
        </w:rPr>
      </w:pPr>
      <w:bookmarkStart w:id="8" w:name="_Toc15518"/>
      <w:bookmarkStart w:id="9" w:name="_Toc101"/>
      <w:r>
        <w:rPr>
          <w:rFonts w:hint="eastAsia" w:ascii="仿宋" w:hAnsi="仿宋" w:eastAsia="仿宋" w:cs="仿宋"/>
        </w:rPr>
        <w:t>1.项目管理</w:t>
      </w:r>
      <w:bookmarkEnd w:id="8"/>
      <w:bookmarkEnd w:id="9"/>
    </w:p>
    <w:p w14:paraId="28AACFDD">
      <w:pPr>
        <w:spacing w:afterAutospacing="0" w:line="360" w:lineRule="auto"/>
        <w:ind w:firstLine="640" w:firstLineChars="200"/>
        <w:rPr>
          <w:rFonts w:eastAsiaTheme="minorEastAsia"/>
          <w:szCs w:val="21"/>
        </w:rPr>
      </w:pPr>
      <w:r>
        <w:rPr>
          <w:rFonts w:hint="eastAsia"/>
          <w:szCs w:val="21"/>
        </w:rPr>
        <w:t>项目管理主要包括了矿权交易的新增矿区、交易公告、变更公告、矿区申购审查、矿区报名查看、中标公告等内容，分别为建立新的出让矿区和发布公告等内容，矿区出让信息填写完成以后，需要相关人员审核完成以后，在网站上进行显示；矿区申购审查为矿区交易的资格前审；矿区报名查看可以及时掌握矿区的报名信息；中标公告为矿区交易完成以后对外公示成交信息。</w:t>
      </w:r>
    </w:p>
    <w:p w14:paraId="3BF50F07">
      <w:pPr>
        <w:pStyle w:val="5"/>
        <w:bidi w:val="0"/>
        <w:spacing w:before="0" w:beforeAutospacing="0" w:after="0" w:afterAutospacing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新增矿区</w:t>
      </w:r>
    </w:p>
    <w:p w14:paraId="434E4CCB">
      <w:pPr>
        <w:spacing w:beforeAutospacing="0" w:line="360" w:lineRule="auto"/>
        <w:ind w:firstLine="640" w:firstLineChars="200"/>
        <w:rPr>
          <w:rFonts w:eastAsiaTheme="minorEastAsia"/>
          <w:szCs w:val="21"/>
        </w:rPr>
      </w:pPr>
      <w:r>
        <w:rPr>
          <w:rFonts w:hint="eastAsia"/>
          <w:szCs w:val="21"/>
        </w:rPr>
        <w:t>新增矿区主要用于新建交易矿区，点击菜单-矿权交易-项目管理-新增矿区，显示矿区列表页面；页面分布为新增和删除按钮，状态选择按钮，搜索区和列表显示区。</w:t>
      </w:r>
    </w:p>
    <w:p w14:paraId="423E9730">
      <w:pPr>
        <w:widowControl/>
        <w:spacing w:line="360" w:lineRule="auto"/>
        <w:jc w:val="left"/>
        <w:rPr>
          <w:szCs w:val="21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829175" cy="2138045"/>
            <wp:effectExtent l="0" t="0" r="9525" b="1460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3AE872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【新增矿区】：点击可弹出新增矿区页面；</w:t>
      </w:r>
    </w:p>
    <w:p w14:paraId="4CF45FB7">
      <w:pPr>
        <w:spacing w:line="360" w:lineRule="auto"/>
        <w:ind w:firstLine="640" w:firstLineChars="200"/>
        <w:rPr>
          <w:rFonts w:eastAsiaTheme="minorEastAsia"/>
          <w:szCs w:val="21"/>
        </w:rPr>
      </w:pPr>
      <w:r>
        <w:rPr>
          <w:rFonts w:hint="eastAsia"/>
          <w:szCs w:val="21"/>
        </w:rPr>
        <w:t>【删除选定】：在矿区列表中选择地块以后可进行删除操作；</w:t>
      </w:r>
    </w:p>
    <w:p w14:paraId="5608C486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【状态】：选择状态，可在列表显示区显示相应状态的矿区列表；</w:t>
      </w:r>
    </w:p>
    <w:p w14:paraId="296828BD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【搜索区】：可根据地块编号、地块名称精确搜索矿区；</w:t>
      </w:r>
    </w:p>
    <w:p w14:paraId="1BEFAF42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【列表显示区】：新增矿区保存后，显示在列表显示区内。</w:t>
      </w:r>
    </w:p>
    <w:p w14:paraId="55232D39">
      <w:pPr>
        <w:spacing w:line="360" w:lineRule="auto"/>
        <w:ind w:firstLine="643" w:firstLineChars="200"/>
        <w:rPr>
          <w:color w:val="FF0000"/>
          <w:sz w:val="18"/>
          <w:szCs w:val="21"/>
        </w:rPr>
      </w:pPr>
      <w:r>
        <w:rPr>
          <w:rFonts w:hint="eastAsia"/>
          <w:b/>
          <w:szCs w:val="21"/>
        </w:rPr>
        <w:t>流程</w:t>
      </w:r>
      <w:r>
        <w:rPr>
          <w:rFonts w:hint="eastAsia"/>
          <w:szCs w:val="21"/>
        </w:rPr>
        <w:t>：点新增矿区按钮，弹出页面，主要填写内容包括矿区信息、矿区性质、矿区审批（核准、备案）文件、矿区出让面积、矿区挂牌时间、矿区基本信息、处理历史。</w:t>
      </w:r>
    </w:p>
    <w:p w14:paraId="418AD107">
      <w:pPr>
        <w:spacing w:line="360" w:lineRule="auto"/>
        <w:ind w:firstLine="640" w:firstLineChars="200"/>
        <w:rPr>
          <w:szCs w:val="21"/>
        </w:rPr>
      </w:pPr>
      <w:r>
        <w:rPr>
          <w:color w:val="FF0000"/>
          <w:szCs w:val="21"/>
        </w:rPr>
        <w:t>注</w:t>
      </w:r>
      <w:r>
        <w:rPr>
          <w:rFonts w:hint="eastAsia"/>
          <w:color w:val="FF0000"/>
          <w:szCs w:val="21"/>
        </w:rPr>
        <w:t>：信息中所有带</w:t>
      </w:r>
      <w:r>
        <w:rPr>
          <w:rFonts w:hint="eastAsia"/>
          <w:color w:val="FF0000"/>
          <w:szCs w:val="21"/>
          <w:lang w:eastAsia="zh-CN"/>
        </w:rPr>
        <w:t>“</w:t>
      </w:r>
      <w:r>
        <w:rPr>
          <w:rFonts w:hint="eastAsia"/>
          <w:color w:val="FF0000"/>
          <w:szCs w:val="21"/>
          <w:lang w:val="en-US" w:eastAsia="zh-CN"/>
        </w:rPr>
        <w:t>*</w:t>
      </w:r>
      <w:r>
        <w:rPr>
          <w:rFonts w:hint="eastAsia"/>
          <w:color w:val="FF0000"/>
          <w:szCs w:val="21"/>
          <w:lang w:eastAsia="zh-CN"/>
        </w:rPr>
        <w:t>”</w:t>
      </w:r>
      <w:r>
        <w:rPr>
          <w:rFonts w:hint="eastAsia"/>
          <w:color w:val="FF0000"/>
          <w:szCs w:val="21"/>
        </w:rPr>
        <w:t>内容全部需要准确填写。</w:t>
      </w:r>
    </w:p>
    <w:p w14:paraId="0581D3E9">
      <w:pPr>
        <w:widowControl/>
        <w:spacing w:line="360" w:lineRule="auto"/>
        <w:jc w:val="left"/>
        <w:rPr>
          <w:szCs w:val="21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02555" cy="2192655"/>
            <wp:effectExtent l="0" t="0" r="17145" b="17145"/>
            <wp:docPr id="3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81FAF2">
      <w:pPr>
        <w:spacing w:afterAutospacing="0" w:line="360" w:lineRule="auto"/>
        <w:ind w:firstLine="640" w:firstLineChars="200"/>
        <w:rPr>
          <w:rFonts w:hint="eastAsia"/>
          <w:szCs w:val="21"/>
        </w:rPr>
      </w:pPr>
      <w:r>
        <w:rPr>
          <w:szCs w:val="21"/>
        </w:rPr>
        <w:t>所有内容填写完善后</w:t>
      </w:r>
      <w:r>
        <w:rPr>
          <w:rFonts w:hint="eastAsia"/>
          <w:szCs w:val="21"/>
        </w:rPr>
        <w:t>，需要点击左上角的确认保存按钮。</w:t>
      </w:r>
    </w:p>
    <w:p w14:paraId="25DDC40E">
      <w:pPr>
        <w:pStyle w:val="5"/>
        <w:bidi w:val="0"/>
        <w:spacing w:before="0" w:beforeAutospacing="0" w:after="0" w:afterAutospacing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2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交易公告</w:t>
      </w:r>
    </w:p>
    <w:p w14:paraId="5704334A">
      <w:pPr>
        <w:spacing w:beforeAutospacing="0"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交易公告</w:t>
      </w:r>
      <w:r>
        <w:rPr>
          <w:szCs w:val="21"/>
        </w:rPr>
        <w:t>主要是用于</w:t>
      </w:r>
      <w:r>
        <w:rPr>
          <w:rFonts w:hint="eastAsia"/>
          <w:szCs w:val="21"/>
        </w:rPr>
        <w:t>发布矿权出让公告，点击菜单-矿权交易-项目管理-交易公告，显示项目标段页面；页面分布为新增按钮，状态选择按钮、搜索区和列表显示区。</w:t>
      </w:r>
    </w:p>
    <w:p w14:paraId="57307313">
      <w:pPr>
        <w:spacing w:line="360" w:lineRule="auto"/>
        <w:rPr>
          <w:szCs w:val="21"/>
        </w:rPr>
      </w:pPr>
      <w:r>
        <w:drawing>
          <wp:inline distT="0" distB="0" distL="114300" distR="114300">
            <wp:extent cx="5262880" cy="2113280"/>
            <wp:effectExtent l="0" t="0" r="10160" b="508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8DE5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【新增交易公告】：点击可弹出新建标段页面；</w:t>
      </w:r>
    </w:p>
    <w:p w14:paraId="4E3F7CE8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【删除交易公告】：选中公告以后进行删除；</w:t>
      </w:r>
    </w:p>
    <w:p w14:paraId="74A7ADB7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【回第一步】：进入审核流程的公告退回到第一步；</w:t>
      </w:r>
    </w:p>
    <w:p w14:paraId="5FC032B9">
      <w:pPr>
        <w:spacing w:line="360" w:lineRule="auto"/>
        <w:ind w:firstLine="640" w:firstLineChars="200"/>
        <w:rPr>
          <w:rFonts w:eastAsiaTheme="minorEastAsia"/>
          <w:szCs w:val="21"/>
        </w:rPr>
      </w:pPr>
      <w:r>
        <w:rPr>
          <w:rFonts w:hint="eastAsia"/>
          <w:szCs w:val="21"/>
        </w:rPr>
        <w:t>【停止流程】：在审核流程中的公告进行终止；</w:t>
      </w:r>
    </w:p>
    <w:p w14:paraId="6B66DD1D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【状态】：选择状态，可在列表显示区显示相应状态的项目内容；</w:t>
      </w:r>
    </w:p>
    <w:p w14:paraId="643D8FAE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【搜索区】：可根据项目编号、项目名称和审核时间精确搜索项目；</w:t>
      </w:r>
    </w:p>
    <w:p w14:paraId="28BDE0A7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【列表显示区】：新建标段保存后，显示在列表显示区内。</w:t>
      </w:r>
    </w:p>
    <w:p w14:paraId="1760235D">
      <w:pPr>
        <w:spacing w:line="360" w:lineRule="auto"/>
        <w:ind w:firstLine="643" w:firstLineChars="200"/>
        <w:rPr>
          <w:rFonts w:eastAsiaTheme="minorEastAsia"/>
          <w:szCs w:val="21"/>
        </w:rPr>
      </w:pPr>
      <w:r>
        <w:rPr>
          <w:b/>
          <w:szCs w:val="21"/>
        </w:rPr>
        <w:t>流程</w:t>
      </w:r>
      <w:r>
        <w:rPr>
          <w:rFonts w:hint="eastAsia"/>
          <w:b/>
          <w:szCs w:val="21"/>
        </w:rPr>
        <w:t>：</w:t>
      </w:r>
      <w:r>
        <w:rPr>
          <w:szCs w:val="21"/>
        </w:rPr>
        <w:t>点击新</w:t>
      </w:r>
      <w:r>
        <w:rPr>
          <w:rFonts w:hint="eastAsia"/>
          <w:szCs w:val="21"/>
        </w:rPr>
        <w:t>增交易公告</w:t>
      </w:r>
      <w:r>
        <w:rPr>
          <w:szCs w:val="21"/>
        </w:rPr>
        <w:t>按钮</w:t>
      </w:r>
      <w:r>
        <w:rPr>
          <w:rFonts w:hint="eastAsia"/>
          <w:szCs w:val="21"/>
        </w:rPr>
        <w:t>，弹出选择页面，此处需要选择已经保存的矿区名称进行添加公告操作，点选项目后，确认选择，弹出公告需要填写的页面，主要填写公告标题信息、公告开始截止日期、项目名称、联系单位、联系电话公告内容等。信息填写完成以后，提交至下一步进行审核。</w:t>
      </w:r>
    </w:p>
    <w:p w14:paraId="5E395F34">
      <w:pPr>
        <w:widowControl/>
        <w:spacing w:line="360" w:lineRule="auto"/>
        <w:jc w:val="left"/>
        <w:rPr>
          <w:szCs w:val="21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83505" cy="2172970"/>
            <wp:effectExtent l="0" t="0" r="13335" b="6350"/>
            <wp:docPr id="3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06457A">
      <w:pPr>
        <w:spacing w:line="360" w:lineRule="auto"/>
        <w:ind w:firstLine="640" w:firstLineChars="200"/>
        <w:rPr>
          <w:szCs w:val="21"/>
        </w:rPr>
      </w:pPr>
      <w:r>
        <w:rPr>
          <w:szCs w:val="21"/>
        </w:rPr>
        <w:t>所有信息添加完成后</w:t>
      </w:r>
      <w:r>
        <w:rPr>
          <w:rFonts w:hint="eastAsia"/>
          <w:szCs w:val="21"/>
        </w:rPr>
        <w:t>，</w:t>
      </w:r>
      <w:r>
        <w:rPr>
          <w:szCs w:val="21"/>
        </w:rPr>
        <w:t>点击提交信息</w:t>
      </w:r>
      <w:r>
        <w:rPr>
          <w:rFonts w:hint="eastAsia"/>
          <w:szCs w:val="21"/>
        </w:rPr>
        <w:t>；弹出页面点击确认提交下一步进行审核，审核通过后可进行后续操作。</w:t>
      </w:r>
    </w:p>
    <w:p w14:paraId="3DA42F43">
      <w:pPr>
        <w:spacing w:afterAutospacing="0" w:line="360" w:lineRule="auto"/>
        <w:rPr>
          <w:szCs w:val="21"/>
        </w:rPr>
      </w:pPr>
      <w:r>
        <w:drawing>
          <wp:inline distT="0" distB="0" distL="0" distR="0">
            <wp:extent cx="5019040" cy="2644140"/>
            <wp:effectExtent l="9525" t="9525" r="15875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6441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B6044A">
      <w:pPr>
        <w:pStyle w:val="5"/>
        <w:spacing w:before="0" w:beforeAutospacing="0" w:after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3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变更公告</w:t>
      </w:r>
    </w:p>
    <w:p w14:paraId="07CF7AC1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变更公告</w:t>
      </w:r>
      <w:r>
        <w:rPr>
          <w:szCs w:val="21"/>
        </w:rPr>
        <w:t>主要是用于</w:t>
      </w:r>
      <w:r>
        <w:rPr>
          <w:rFonts w:hint="eastAsia"/>
          <w:szCs w:val="21"/>
        </w:rPr>
        <w:t>发布矿区变更公告，点击菜单-矿权交易-项目管理-变更公告，显示项目标段页面；页面分布为操作区按钮，状态选择按钮、搜索区和列表显示区。</w:t>
      </w:r>
    </w:p>
    <w:p w14:paraId="3DA4F8DC">
      <w:pPr>
        <w:widowControl/>
        <w:spacing w:line="360" w:lineRule="auto"/>
        <w:jc w:val="left"/>
        <w:rPr>
          <w:szCs w:val="21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10810" cy="2255520"/>
            <wp:effectExtent l="0" t="0" r="8890" b="11430"/>
            <wp:docPr id="2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EBD2FB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【新增变更公告】：点击可弹出新建变更公告页面；</w:t>
      </w:r>
    </w:p>
    <w:p w14:paraId="7E09D6D3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【删除变更公告】：选中公告以后进行删除；</w:t>
      </w:r>
    </w:p>
    <w:p w14:paraId="5A834F5E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【回第一步】：进入审核流程的公告退回到第一步；</w:t>
      </w:r>
    </w:p>
    <w:p w14:paraId="7A88A695">
      <w:pPr>
        <w:spacing w:line="360" w:lineRule="auto"/>
        <w:ind w:firstLine="640" w:firstLineChars="200"/>
        <w:rPr>
          <w:rFonts w:eastAsiaTheme="minorEastAsia"/>
          <w:szCs w:val="21"/>
        </w:rPr>
      </w:pPr>
      <w:r>
        <w:rPr>
          <w:rFonts w:hint="eastAsia"/>
          <w:szCs w:val="21"/>
        </w:rPr>
        <w:t>【停止流程】：在审核流程中的公告进行终止；</w:t>
      </w:r>
    </w:p>
    <w:p w14:paraId="676B8F5F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【状态】：选择状态，可在列表显示区显示相应状态的项目内容；</w:t>
      </w:r>
    </w:p>
    <w:p w14:paraId="2468296C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【搜索区】：可根据项目编号、项目名称和审核时间精确搜索项目；</w:t>
      </w:r>
    </w:p>
    <w:p w14:paraId="4B09DC04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【列表显示区】：新建标段保存后，显示在列表显示区内。</w:t>
      </w:r>
    </w:p>
    <w:p w14:paraId="544A5FBE">
      <w:pPr>
        <w:spacing w:line="360" w:lineRule="auto"/>
        <w:ind w:firstLine="643" w:firstLineChars="200"/>
        <w:rPr>
          <w:rFonts w:eastAsiaTheme="minorEastAsia"/>
          <w:szCs w:val="21"/>
        </w:rPr>
      </w:pPr>
      <w:r>
        <w:rPr>
          <w:b/>
          <w:szCs w:val="21"/>
        </w:rPr>
        <w:t>流程</w:t>
      </w:r>
      <w:r>
        <w:rPr>
          <w:rFonts w:hint="eastAsia"/>
          <w:b/>
          <w:szCs w:val="21"/>
        </w:rPr>
        <w:t>：</w:t>
      </w:r>
      <w:r>
        <w:rPr>
          <w:szCs w:val="21"/>
        </w:rPr>
        <w:t>点击新</w:t>
      </w:r>
      <w:r>
        <w:rPr>
          <w:rFonts w:hint="eastAsia"/>
          <w:szCs w:val="21"/>
        </w:rPr>
        <w:t>增变更公告</w:t>
      </w:r>
      <w:r>
        <w:rPr>
          <w:szCs w:val="21"/>
        </w:rPr>
        <w:t>按钮</w:t>
      </w:r>
      <w:r>
        <w:rPr>
          <w:rFonts w:hint="eastAsia"/>
          <w:szCs w:val="21"/>
        </w:rPr>
        <w:t>，弹出选择页面，此处需要选择已经发布公告进行添加变更公告操作，点选项目后，确认选择，弹出变更公告填写的页面，主要填写变更公告标题信息、发布时间、公告内容等。信息填写完成以后，提交至下一步进行审核。</w:t>
      </w:r>
    </w:p>
    <w:p w14:paraId="4447D124">
      <w:pPr>
        <w:widowControl/>
        <w:spacing w:line="360" w:lineRule="auto"/>
        <w:jc w:val="left"/>
        <w:rPr>
          <w:szCs w:val="21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391150" cy="2346960"/>
            <wp:effectExtent l="0" t="0" r="0" b="15240"/>
            <wp:docPr id="2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2F391C">
      <w:pPr>
        <w:spacing w:line="360" w:lineRule="auto"/>
        <w:ind w:firstLine="640" w:firstLineChars="200"/>
        <w:rPr>
          <w:szCs w:val="21"/>
        </w:rPr>
      </w:pPr>
      <w:r>
        <w:rPr>
          <w:szCs w:val="21"/>
        </w:rPr>
        <w:t>所有信息添加完成后</w:t>
      </w:r>
      <w:r>
        <w:rPr>
          <w:rFonts w:hint="eastAsia"/>
          <w:szCs w:val="21"/>
        </w:rPr>
        <w:t>，</w:t>
      </w:r>
      <w:r>
        <w:rPr>
          <w:szCs w:val="21"/>
        </w:rPr>
        <w:t>点击提交信息</w:t>
      </w:r>
      <w:r>
        <w:rPr>
          <w:rFonts w:hint="eastAsia"/>
          <w:szCs w:val="21"/>
        </w:rPr>
        <w:t>；弹出页面点击确认提交下一步进行审核，审核通过后可进行后续操作。</w:t>
      </w:r>
    </w:p>
    <w:p w14:paraId="38AE9148">
      <w:pPr>
        <w:spacing w:line="360" w:lineRule="auto"/>
        <w:rPr>
          <w:szCs w:val="21"/>
        </w:rPr>
      </w:pPr>
      <w:r>
        <w:drawing>
          <wp:inline distT="0" distB="0" distL="0" distR="0">
            <wp:extent cx="5274310" cy="2919730"/>
            <wp:effectExtent l="9525" t="9525" r="12065" b="234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085425">
      <w:pPr>
        <w:pStyle w:val="5"/>
        <w:spacing w:before="0" w:after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4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矿区申购审查</w:t>
      </w:r>
    </w:p>
    <w:p w14:paraId="0690D2E1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矿区申购审查主要用于资质前审项目，对报名的企业进行资质的审核，主要包含了搜索区、审查列表、操作区等。</w:t>
      </w:r>
    </w:p>
    <w:p w14:paraId="7CF6C77E">
      <w:pPr>
        <w:widowControl/>
        <w:spacing w:line="360" w:lineRule="auto"/>
        <w:jc w:val="left"/>
        <w:rPr>
          <w:szCs w:val="21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02580" cy="2181225"/>
            <wp:effectExtent l="0" t="0" r="7620" b="13335"/>
            <wp:docPr id="3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503119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【搜索区】：根据竞买人提供的竞买号进行精准搜索；</w:t>
      </w:r>
    </w:p>
    <w:p w14:paraId="79785D87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【审查列表区】：需要进行资质审查的列表；</w:t>
      </w:r>
    </w:p>
    <w:p w14:paraId="19A8EEE5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【操作区】：对竞买人进行资质审查。</w:t>
      </w:r>
    </w:p>
    <w:p w14:paraId="00E17B92">
      <w:pPr>
        <w:spacing w:afterAutospacing="0" w:line="360" w:lineRule="auto"/>
        <w:ind w:firstLine="643" w:firstLineChars="200"/>
        <w:rPr>
          <w:rFonts w:eastAsiaTheme="minorEastAsia"/>
          <w:szCs w:val="21"/>
        </w:rPr>
      </w:pPr>
      <w:r>
        <w:rPr>
          <w:b/>
          <w:szCs w:val="21"/>
        </w:rPr>
        <w:t>流程</w:t>
      </w:r>
      <w:r>
        <w:rPr>
          <w:rFonts w:hint="eastAsia"/>
          <w:b/>
          <w:szCs w:val="21"/>
        </w:rPr>
        <w:t>：</w:t>
      </w:r>
      <w:r>
        <w:rPr>
          <w:rFonts w:hint="eastAsia"/>
          <w:bCs/>
          <w:szCs w:val="21"/>
        </w:rPr>
        <w:t>竞买人</w:t>
      </w:r>
      <w:r>
        <w:rPr>
          <w:rFonts w:hint="eastAsia"/>
          <w:bCs/>
          <w:szCs w:val="21"/>
          <w:lang w:val="en-US" w:eastAsia="zh-CN"/>
        </w:rPr>
        <w:t>完成</w:t>
      </w:r>
      <w:r>
        <w:rPr>
          <w:rFonts w:hint="eastAsia"/>
          <w:bCs/>
          <w:szCs w:val="21"/>
        </w:rPr>
        <w:t>购流程以后，将竞买号提供给交易中心，中心工作人员对该竞买人进行竞买资格审核，并填写审核意见，资格审核通过以后该竞买人</w:t>
      </w:r>
      <w:r>
        <w:rPr>
          <w:rFonts w:hint="eastAsia"/>
          <w:bCs/>
          <w:szCs w:val="21"/>
          <w:lang w:val="en-US" w:eastAsia="zh-CN"/>
        </w:rPr>
        <w:t>方具备竞</w:t>
      </w:r>
      <w:r>
        <w:rPr>
          <w:rFonts w:hint="eastAsia"/>
          <w:bCs/>
          <w:szCs w:val="21"/>
        </w:rPr>
        <w:t>买资格，如不通过将无法继续进行竞买</w:t>
      </w:r>
      <w:r>
        <w:rPr>
          <w:rFonts w:hint="eastAsia"/>
          <w:szCs w:val="21"/>
        </w:rPr>
        <w:t>。</w:t>
      </w:r>
    </w:p>
    <w:p w14:paraId="654E423D">
      <w:pPr>
        <w:pStyle w:val="4"/>
        <w:bidi w:val="0"/>
        <w:spacing w:before="0" w:beforeAutospacing="0" w:after="0" w:afterAutospacing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5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矿区报名查看</w:t>
      </w:r>
    </w:p>
    <w:p w14:paraId="065012D4">
      <w:pPr>
        <w:spacing w:beforeAutospacing="0"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矿区报名查看主要用于查看矿区报名的名单，该名单查看在矿权交易完成以后，主要包含了搜索区、矿区状态区、操作按钮等。</w:t>
      </w:r>
    </w:p>
    <w:p w14:paraId="48EF06D6">
      <w:pPr>
        <w:widowControl/>
        <w:spacing w:line="360" w:lineRule="auto"/>
        <w:jc w:val="left"/>
        <w:rPr>
          <w:szCs w:val="21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634990" cy="2363470"/>
            <wp:effectExtent l="0" t="0" r="3810" b="13970"/>
            <wp:docPr id="3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E625F3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【搜索区】：根据矿区编号、矿区名称进行精准搜索；</w:t>
      </w:r>
    </w:p>
    <w:p w14:paraId="5C4A8576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【地块状态区】：对矿区的状态进行过滤；</w:t>
      </w:r>
    </w:p>
    <w:p w14:paraId="31EEE3D3">
      <w:pPr>
        <w:spacing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【操作区】：查看矿区报名名单。</w:t>
      </w:r>
    </w:p>
    <w:p w14:paraId="34A6D4F8">
      <w:pPr>
        <w:spacing w:afterAutospacing="0" w:line="360" w:lineRule="auto"/>
        <w:ind w:firstLine="643" w:firstLineChars="200"/>
        <w:rPr>
          <w:rFonts w:ascii="微软雅黑" w:hAnsi="微软雅黑" w:eastAsia="微软雅黑"/>
          <w:sz w:val="30"/>
          <w:szCs w:val="30"/>
        </w:rPr>
      </w:pPr>
      <w:r>
        <w:rPr>
          <w:b/>
          <w:szCs w:val="21"/>
        </w:rPr>
        <w:t>流程</w:t>
      </w:r>
      <w:r>
        <w:rPr>
          <w:rFonts w:hint="eastAsia"/>
          <w:b/>
          <w:szCs w:val="21"/>
        </w:rPr>
        <w:t>：</w:t>
      </w:r>
      <w:r>
        <w:rPr>
          <w:rFonts w:hint="eastAsia"/>
          <w:bCs/>
          <w:szCs w:val="21"/>
        </w:rPr>
        <w:t>矿区交易完成以后，有权限的人员可以对该地块报名名单进行查看</w:t>
      </w:r>
      <w:r>
        <w:rPr>
          <w:rFonts w:hint="eastAsia"/>
          <w:szCs w:val="21"/>
        </w:rPr>
        <w:t>。</w:t>
      </w:r>
    </w:p>
    <w:p w14:paraId="7F44F439">
      <w:pPr>
        <w:pStyle w:val="4"/>
        <w:bidi w:val="0"/>
        <w:spacing w:before="0" w:beforeAutospacing="0" w:after="0" w:afterAutospacing="0"/>
        <w:ind w:firstLine="640" w:firstLineChars="200"/>
        <w:rPr>
          <w:rFonts w:hint="eastAsia" w:ascii="仿宋" w:hAnsi="仿宋" w:eastAsia="仿宋" w:cs="仿宋"/>
        </w:rPr>
      </w:pPr>
      <w:bookmarkStart w:id="10" w:name="_Toc17096"/>
      <w:bookmarkStart w:id="11" w:name="_Toc2000"/>
      <w:r>
        <w:rPr>
          <w:rFonts w:hint="eastAsia" w:ascii="仿宋" w:hAnsi="仿宋" w:eastAsia="仿宋" w:cs="仿宋"/>
        </w:rPr>
        <w:t>2.电子竞价</w:t>
      </w:r>
      <w:bookmarkEnd w:id="10"/>
      <w:bookmarkEnd w:id="11"/>
    </w:p>
    <w:p w14:paraId="135A2F83">
      <w:pPr>
        <w:spacing w:beforeAutospacing="0" w:line="360" w:lineRule="auto"/>
        <w:ind w:firstLine="640" w:firstLineChars="200"/>
        <w:rPr>
          <w:szCs w:val="21"/>
        </w:rPr>
      </w:pPr>
      <w:r>
        <w:rPr>
          <w:rFonts w:hint="eastAsia"/>
          <w:szCs w:val="21"/>
        </w:rPr>
        <w:t>主要用于对矿权交易的竞价过程进行管理。</w:t>
      </w:r>
    </w:p>
    <w:p w14:paraId="05DD715C">
      <w:pPr>
        <w:pStyle w:val="5"/>
        <w:spacing w:before="0" w:after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设定竞价规则</w:t>
      </w:r>
    </w:p>
    <w:p w14:paraId="1B5295D0">
      <w:pPr>
        <w:spacing w:line="360" w:lineRule="auto"/>
        <w:ind w:firstLine="640" w:firstLineChars="200"/>
        <w:rPr>
          <w:rFonts w:hint="eastAsia" w:eastAsia="仿宋"/>
          <w:szCs w:val="21"/>
          <w:lang w:eastAsia="zh-CN"/>
        </w:rPr>
      </w:pPr>
      <w:r>
        <w:rPr>
          <w:rFonts w:hint="eastAsia"/>
          <w:szCs w:val="21"/>
        </w:rPr>
        <w:t>主要用于矿权交易公告发出以后，设定网络竞价的规则。点击菜单-矿权交易-电子竞价-设定竞价规则。选择需要设定规则的矿区名称，设定竞价信息，弹出页面如下</w:t>
      </w:r>
      <w:r>
        <w:rPr>
          <w:rFonts w:hint="eastAsia"/>
          <w:szCs w:val="21"/>
          <w:lang w:eastAsia="zh-CN"/>
        </w:rPr>
        <w:t>。</w:t>
      </w:r>
    </w:p>
    <w:p w14:paraId="17C76514">
      <w:pPr>
        <w:spacing w:line="360" w:lineRule="auto"/>
      </w:pPr>
      <w:r>
        <w:drawing>
          <wp:inline distT="0" distB="0" distL="114300" distR="114300">
            <wp:extent cx="5273040" cy="2245360"/>
            <wp:effectExtent l="0" t="0" r="3810" b="254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6D55">
      <w:pPr>
        <w:spacing w:line="360" w:lineRule="auto"/>
        <w:ind w:firstLine="640" w:firstLineChars="200"/>
      </w:pPr>
      <w:r>
        <w:rPr>
          <w:rFonts w:hint="eastAsia"/>
        </w:rPr>
        <w:t>需要对页面中带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*</w:t>
      </w:r>
      <w:r>
        <w:rPr>
          <w:rFonts w:hint="eastAsia"/>
          <w:lang w:eastAsia="zh-CN"/>
        </w:rPr>
        <w:t>”</w:t>
      </w:r>
      <w:r>
        <w:rPr>
          <w:rFonts w:hint="eastAsia"/>
        </w:rPr>
        <w:t>内容进行准确的设置，设置完成以后点击保存，信息同步至竞价系统。</w:t>
      </w:r>
    </w:p>
    <w:p w14:paraId="01D83125">
      <w:pPr>
        <w:pStyle w:val="5"/>
        <w:spacing w:before="0" w:after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2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竞价控制</w:t>
      </w:r>
    </w:p>
    <w:p w14:paraId="5DE2150F">
      <w:pPr>
        <w:spacing w:line="360" w:lineRule="auto"/>
        <w:ind w:firstLine="640" w:firstLineChars="200"/>
        <w:rPr>
          <w:rFonts w:hint="eastAsia" w:eastAsia="仿宋"/>
          <w:lang w:eastAsia="zh-CN"/>
        </w:rPr>
      </w:pPr>
      <w:r>
        <w:rPr>
          <w:rFonts w:hint="eastAsia"/>
        </w:rPr>
        <w:t>用于控制竞价过程，点击菜单--矿权交易--电子竞价--竞价控制，选择需要控制的矿区名称，进入以后界面如下</w:t>
      </w:r>
      <w:r>
        <w:rPr>
          <w:rFonts w:hint="eastAsia"/>
          <w:lang w:eastAsia="zh-CN"/>
        </w:rPr>
        <w:t>。</w:t>
      </w:r>
    </w:p>
    <w:p w14:paraId="454EB844">
      <w:pPr>
        <w:widowControl/>
        <w:spacing w:line="360" w:lineRule="auto"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95900" cy="3160395"/>
            <wp:effectExtent l="0" t="0" r="0" b="1905"/>
            <wp:docPr id="3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FFF50C">
      <w:pPr>
        <w:spacing w:line="360" w:lineRule="auto"/>
        <w:ind w:firstLine="640" w:firstLineChars="200"/>
      </w:pPr>
      <w:r>
        <w:rPr>
          <w:rFonts w:hint="eastAsia"/>
        </w:rPr>
        <w:t>【竞价状态】：显示当前矿区的状态；</w:t>
      </w:r>
    </w:p>
    <w:p w14:paraId="3168C03A">
      <w:pPr>
        <w:spacing w:line="360" w:lineRule="auto"/>
        <w:ind w:firstLine="640" w:firstLineChars="200"/>
      </w:pPr>
      <w:r>
        <w:rPr>
          <w:rFonts w:hint="eastAsia"/>
        </w:rPr>
        <w:t>【竞价信息】：显示当前矿区的竞价信息；</w:t>
      </w:r>
    </w:p>
    <w:p w14:paraId="1AA33615">
      <w:pPr>
        <w:spacing w:line="360" w:lineRule="auto"/>
        <w:ind w:firstLine="640" w:firstLineChars="200"/>
      </w:pPr>
      <w:r>
        <w:rPr>
          <w:rFonts w:hint="eastAsia"/>
        </w:rPr>
        <w:t>【控制区】：对竞价过程采取暂停或者终止操作；</w:t>
      </w:r>
    </w:p>
    <w:p w14:paraId="025E8246">
      <w:pPr>
        <w:spacing w:line="360" w:lineRule="auto"/>
        <w:ind w:firstLine="640" w:firstLineChars="200"/>
      </w:pPr>
      <w:r>
        <w:rPr>
          <w:rFonts w:hint="eastAsia"/>
        </w:rPr>
        <w:t>【消息区】：出价记录提醒和广播消息发布。</w:t>
      </w:r>
    </w:p>
    <w:p w14:paraId="69521AE4">
      <w:pPr>
        <w:pStyle w:val="5"/>
        <w:spacing w:before="0" w:after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3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报价历史纪录</w:t>
      </w:r>
    </w:p>
    <w:p w14:paraId="0DDE7B62">
      <w:pPr>
        <w:spacing w:line="360" w:lineRule="auto"/>
        <w:ind w:firstLine="640" w:firstLineChars="200"/>
      </w:pPr>
      <w:r>
        <w:rPr>
          <w:rFonts w:hint="eastAsia"/>
        </w:rPr>
        <w:t>用于查看矿区的历史报价记录。点击菜单-矿权交易--电子竞价--报价历史记录。</w:t>
      </w:r>
    </w:p>
    <w:p w14:paraId="2B300BA3">
      <w:pPr>
        <w:widowControl/>
        <w:spacing w:line="360" w:lineRule="auto"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304155" cy="2296160"/>
            <wp:effectExtent l="0" t="0" r="14605" b="5080"/>
            <wp:docPr id="3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3B260F">
      <w:pPr>
        <w:pStyle w:val="5"/>
        <w:spacing w:before="0" w:after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4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同步竞价结果</w:t>
      </w:r>
    </w:p>
    <w:p w14:paraId="112FEFFC">
      <w:pPr>
        <w:spacing w:line="360" w:lineRule="auto"/>
        <w:ind w:firstLine="640" w:firstLineChars="200"/>
      </w:pPr>
      <w:r>
        <w:rPr>
          <w:rFonts w:hint="eastAsia"/>
        </w:rPr>
        <w:t>用于显示矿区的竞价结果。点击菜单-矿权交易-电子竞价-同步竞价结果。</w:t>
      </w:r>
    </w:p>
    <w:p w14:paraId="771644A0">
      <w:pPr>
        <w:widowControl/>
        <w:spacing w:line="360" w:lineRule="auto"/>
        <w:jc w:val="left"/>
        <w:rPr>
          <w:rFonts w:ascii="微软雅黑" w:hAnsi="微软雅黑" w:eastAsia="微软雅黑"/>
          <w:sz w:val="24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626100" cy="2420620"/>
            <wp:effectExtent l="0" t="0" r="12700" b="2540"/>
            <wp:docPr id="38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53A32A">
      <w:pPr>
        <w:pStyle w:val="4"/>
        <w:spacing w:before="0" w:after="0"/>
        <w:ind w:firstLine="640" w:firstLineChars="200"/>
        <w:rPr>
          <w:rFonts w:hint="eastAsia" w:ascii="仿宋" w:hAnsi="仿宋" w:eastAsia="仿宋" w:cs="仿宋"/>
        </w:rPr>
      </w:pPr>
      <w:bookmarkStart w:id="12" w:name="_Toc9612"/>
      <w:bookmarkStart w:id="13" w:name="_Toc19098"/>
      <w:r>
        <w:rPr>
          <w:rFonts w:hint="eastAsia" w:ascii="仿宋" w:hAnsi="仿宋" w:eastAsia="仿宋" w:cs="仿宋"/>
        </w:rPr>
        <w:t>3.矿区管理</w:t>
      </w:r>
      <w:bookmarkEnd w:id="12"/>
      <w:bookmarkEnd w:id="13"/>
    </w:p>
    <w:p w14:paraId="1FA7519C">
      <w:pPr>
        <w:pStyle w:val="5"/>
        <w:spacing w:before="0" w:after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cs="仿宋"/>
          <w:lang w:eastAsia="zh-CN"/>
        </w:rPr>
        <w:t>（</w:t>
      </w:r>
      <w:r>
        <w:rPr>
          <w:rFonts w:hint="eastAsia" w:ascii="仿宋" w:hAnsi="仿宋" w:cs="仿宋"/>
          <w:lang w:val="en-US" w:eastAsia="zh-CN"/>
        </w:rPr>
        <w:t>1</w:t>
      </w:r>
      <w:r>
        <w:rPr>
          <w:rFonts w:hint="eastAsia" w:ascii="仿宋" w:hAnsi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矿区状态管理</w:t>
      </w:r>
    </w:p>
    <w:p w14:paraId="70F28EDB">
      <w:pPr>
        <w:spacing w:line="360" w:lineRule="auto"/>
        <w:ind w:firstLine="640" w:firstLineChars="200"/>
      </w:pPr>
      <w:r>
        <w:rPr>
          <w:rFonts w:hint="eastAsia"/>
        </w:rPr>
        <w:t>用于对矿区的状态进行管理，点击菜单-矿权交易--矿区管理-矿区状态管理。打开矿区状态管理页面。</w:t>
      </w:r>
    </w:p>
    <w:p w14:paraId="245F68D0">
      <w:pPr>
        <w:spacing w:line="360" w:lineRule="auto"/>
      </w:pPr>
      <w:r>
        <w:drawing>
          <wp:inline distT="0" distB="0" distL="114300" distR="114300">
            <wp:extent cx="5271135" cy="2285365"/>
            <wp:effectExtent l="0" t="0" r="5715" b="63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B3C6">
      <w:pPr>
        <w:spacing w:line="360" w:lineRule="auto"/>
        <w:ind w:firstLine="640" w:firstLineChars="200"/>
      </w:pPr>
      <w:r>
        <w:rPr>
          <w:rFonts w:hint="eastAsia"/>
        </w:rPr>
        <w:t>【操作区】：对选定的矿区进行暂停和停止操作；</w:t>
      </w:r>
    </w:p>
    <w:p w14:paraId="15B1A652">
      <w:pPr>
        <w:spacing w:line="360" w:lineRule="auto"/>
        <w:ind w:firstLine="640" w:firstLineChars="200"/>
      </w:pPr>
      <w:r>
        <w:rPr>
          <w:rFonts w:hint="eastAsia"/>
        </w:rPr>
        <w:t>【状态选择】：按照矿区的状态进行过滤；</w:t>
      </w:r>
    </w:p>
    <w:p w14:paraId="5B466723">
      <w:pPr>
        <w:spacing w:line="360" w:lineRule="auto"/>
        <w:ind w:firstLine="640" w:firstLineChars="200"/>
      </w:pPr>
      <w:r>
        <w:rPr>
          <w:rFonts w:hint="eastAsia"/>
        </w:rPr>
        <w:t>【搜索区】：根据矿区的编号，矿区的名称进行搜索；</w:t>
      </w:r>
    </w:p>
    <w:p w14:paraId="36EF9144">
      <w:pPr>
        <w:spacing w:line="360" w:lineRule="auto"/>
        <w:ind w:firstLine="640" w:firstLineChars="200"/>
      </w:pPr>
      <w:r>
        <w:rPr>
          <w:rFonts w:hint="eastAsia"/>
        </w:rPr>
        <w:t>【矿区列表】：显示当前矿区的信息。</w:t>
      </w:r>
    </w:p>
    <w:p w14:paraId="1FA4B898">
      <w:pPr>
        <w:spacing w:line="360" w:lineRule="auto"/>
        <w:ind w:firstLine="640" w:firstLineChars="200"/>
      </w:pPr>
      <w:r>
        <w:rPr>
          <w:rFonts w:hint="eastAsia"/>
        </w:rPr>
        <w:t>选中矿区点击暂停或者停止按钮，可以对矿区交易过程进行暂停或停止。</w:t>
      </w:r>
    </w:p>
    <w:p w14:paraId="0D4A5F5C">
      <w:pPr>
        <w:pStyle w:val="5"/>
        <w:spacing w:before="0" w:after="0"/>
        <w:ind w:firstLine="640" w:firstLineChars="200"/>
      </w:pP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2</w:t>
      </w:r>
      <w:r>
        <w:rPr>
          <w:rFonts w:hint="eastAsia" w:ascii="仿宋" w:hAnsi="仿宋" w:eastAsia="仿宋" w:cs="仿宋"/>
          <w:lang w:eastAsia="zh-CN"/>
        </w:rPr>
        <w:t>）</w:t>
      </w:r>
      <w:r>
        <w:rPr>
          <w:rFonts w:hint="eastAsia" w:ascii="仿宋" w:hAnsi="仿宋" w:eastAsia="仿宋" w:cs="仿宋"/>
        </w:rPr>
        <w:t>统计报</w:t>
      </w:r>
      <w:r>
        <w:rPr>
          <w:rFonts w:hint="eastAsia"/>
        </w:rPr>
        <w:t>表</w:t>
      </w:r>
    </w:p>
    <w:p w14:paraId="7939127A">
      <w:pPr>
        <w:spacing w:line="360" w:lineRule="auto"/>
        <w:ind w:firstLine="640" w:firstLineChars="200"/>
      </w:pPr>
      <w:r>
        <w:rPr>
          <w:rFonts w:hint="eastAsia"/>
        </w:rPr>
        <w:t>用于统计矿区交易信息。点击菜单-矿权交易-矿区管理-统计报表。</w:t>
      </w:r>
    </w:p>
    <w:p w14:paraId="1D86CC28">
      <w:pPr>
        <w:widowControl/>
        <w:spacing w:line="360" w:lineRule="auto"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436870" cy="2214245"/>
            <wp:effectExtent l="0" t="0" r="11430" b="14605"/>
            <wp:docPr id="4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52DB7E">
      <w:pPr>
        <w:spacing w:line="360" w:lineRule="auto"/>
        <w:ind w:firstLine="640" w:firstLineChars="200"/>
      </w:pPr>
      <w:r>
        <w:rPr>
          <w:rFonts w:hint="eastAsia"/>
        </w:rPr>
        <w:t>【搜索区】根据矿区的编号、矿区的名称进行搜索；</w:t>
      </w:r>
    </w:p>
    <w:p w14:paraId="20BB5D1F">
      <w:pPr>
        <w:spacing w:line="360" w:lineRule="auto"/>
        <w:ind w:firstLine="640" w:firstLineChars="200"/>
      </w:pPr>
      <w:r>
        <w:rPr>
          <w:rFonts w:hint="eastAsia"/>
        </w:rPr>
        <w:t>【矿区列表】显示已成交的矿区信息；</w:t>
      </w:r>
    </w:p>
    <w:p w14:paraId="4EF03AC3">
      <w:pPr>
        <w:spacing w:line="360" w:lineRule="auto"/>
        <w:ind w:firstLine="640" w:firstLineChars="200"/>
        <w:rPr>
          <w:rFonts w:ascii="微软雅黑" w:hAnsi="微软雅黑" w:eastAsia="微软雅黑"/>
          <w:sz w:val="24"/>
        </w:rPr>
      </w:pPr>
      <w:r>
        <w:rPr>
          <w:rFonts w:hint="eastAsia"/>
        </w:rPr>
        <w:t>【打印按钮】打印已成交的矿区成交信息。</w:t>
      </w:r>
    </w:p>
    <w:p w14:paraId="710B3622">
      <w:pPr>
        <w:pStyle w:val="2"/>
        <w:spacing w:before="0" w:after="0"/>
        <w:rPr>
          <w:rFonts w:hint="default" w:eastAsia="黑体"/>
          <w:lang w:val="en-US" w:eastAsia="zh-CN"/>
        </w:rPr>
      </w:pPr>
      <w:bookmarkStart w:id="14" w:name="_Toc533861993"/>
      <w:bookmarkStart w:id="15" w:name="_Toc5924"/>
      <w:bookmarkStart w:id="16" w:name="_Toc30413"/>
      <w:r>
        <w:rPr>
          <w:rFonts w:hint="eastAsia"/>
        </w:rPr>
        <w:t>三</w:t>
      </w:r>
      <w:bookmarkEnd w:id="14"/>
      <w:r>
        <w:rPr>
          <w:rFonts w:hint="eastAsia"/>
        </w:rPr>
        <w:t>、</w:t>
      </w:r>
      <w:r>
        <w:t>竞买人</w:t>
      </w:r>
      <w:bookmarkEnd w:id="15"/>
      <w:bookmarkEnd w:id="16"/>
      <w:r>
        <w:rPr>
          <w:rFonts w:hint="eastAsia"/>
          <w:lang w:val="en-US" w:eastAsia="zh-CN"/>
        </w:rPr>
        <w:t>操作指南</w:t>
      </w:r>
    </w:p>
    <w:p w14:paraId="5628BAC0">
      <w:pPr>
        <w:pStyle w:val="3"/>
        <w:spacing w:before="0" w:after="0"/>
      </w:pPr>
      <w:bookmarkStart w:id="17" w:name="_Toc533861998"/>
      <w:bookmarkStart w:id="18" w:name="_Toc11446"/>
      <w:r>
        <w:rPr>
          <w:rFonts w:hint="eastAsia"/>
        </w:rPr>
        <w:t>（一）招标公告</w:t>
      </w:r>
      <w:bookmarkEnd w:id="17"/>
      <w:bookmarkEnd w:id="18"/>
    </w:p>
    <w:p w14:paraId="73913016">
      <w:pPr>
        <w:spacing w:line="360" w:lineRule="auto"/>
        <w:ind w:firstLine="640" w:firstLineChars="200"/>
      </w:pPr>
      <w:r>
        <w:rPr>
          <w:rFonts w:hint="eastAsia"/>
        </w:rPr>
        <w:t>招标公告内容中主要显示所有发布招标公告的矿权交易信息，竞买人可在招标公告中查看筛选标段信息进行申购，核验通过的企业登录默认显示招标公告页面。</w:t>
      </w:r>
    </w:p>
    <w:p w14:paraId="23EEC21E">
      <w:pPr>
        <w:spacing w:line="360" w:lineRule="auto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77485" cy="2311400"/>
            <wp:effectExtent l="0" t="0" r="18415" b="12700"/>
            <wp:docPr id="41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99B1C6">
      <w:pPr>
        <w:pStyle w:val="4"/>
        <w:spacing w:before="0" w:after="0"/>
        <w:ind w:firstLine="640" w:firstLineChars="200"/>
        <w:rPr>
          <w:rFonts w:hint="eastAsia" w:ascii="仿宋" w:hAnsi="仿宋" w:eastAsia="仿宋" w:cs="仿宋"/>
        </w:rPr>
      </w:pPr>
      <w:bookmarkStart w:id="19" w:name="_Toc533861999"/>
      <w:bookmarkStart w:id="20" w:name="_Toc17632"/>
      <w:r>
        <w:rPr>
          <w:rFonts w:hint="eastAsia" w:ascii="仿宋" w:hAnsi="仿宋" w:eastAsia="仿宋" w:cs="仿宋"/>
        </w:rPr>
        <w:t>1.公告详情</w:t>
      </w:r>
      <w:bookmarkEnd w:id="19"/>
      <w:bookmarkEnd w:id="20"/>
    </w:p>
    <w:p w14:paraId="3845A73C">
      <w:pPr>
        <w:spacing w:line="360" w:lineRule="auto"/>
        <w:ind w:firstLine="640" w:firstLineChars="200"/>
        <w:rPr>
          <w:rFonts w:eastAsiaTheme="minorEastAsia"/>
        </w:rPr>
      </w:pPr>
      <w:r>
        <w:rPr>
          <w:rFonts w:hint="eastAsia"/>
        </w:rPr>
        <w:t>招标公告下面的每一个框选内容为一个单独的矿权交易信息，矿权交易信息显示矿区名称和矿区编号，鼠标滑过可点击公告详情查看公告信息。标签右上角显示交易方式。</w:t>
      </w:r>
    </w:p>
    <w:p w14:paraId="632D8C60">
      <w:pPr>
        <w:spacing w:line="360" w:lineRule="auto"/>
      </w:pPr>
      <w:r>
        <w:t xml:space="preserve"> </w:t>
      </w:r>
      <w:r>
        <w:drawing>
          <wp:inline distT="0" distB="0" distL="114300" distR="114300">
            <wp:extent cx="5268595" cy="2267585"/>
            <wp:effectExtent l="0" t="0" r="8255" b="1841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2813">
      <w:pPr>
        <w:spacing w:line="360" w:lineRule="auto"/>
        <w:ind w:firstLine="640" w:firstLineChars="200"/>
      </w:pPr>
      <w:r>
        <w:rPr>
          <w:rFonts w:hint="eastAsia"/>
        </w:rPr>
        <w:t>点击公详情按钮，弹出查看招标公告内容，可以查看此工程项目详细招标信息。投标单位根据公告要求，开展投标工作。</w:t>
      </w:r>
    </w:p>
    <w:p w14:paraId="74613BA3">
      <w:pPr>
        <w:pStyle w:val="4"/>
        <w:spacing w:before="0" w:after="0"/>
        <w:ind w:firstLine="640" w:firstLineChars="200"/>
        <w:rPr>
          <w:rFonts w:hint="eastAsia" w:ascii="仿宋" w:hAnsi="仿宋" w:eastAsia="仿宋" w:cs="仿宋"/>
        </w:rPr>
      </w:pPr>
      <w:bookmarkStart w:id="21" w:name="_Toc533862000"/>
      <w:bookmarkStart w:id="22" w:name="_Toc28766"/>
      <w:bookmarkStart w:id="23" w:name="_Toc21104"/>
      <w:r>
        <w:rPr>
          <w:rFonts w:hint="eastAsia" w:ascii="仿宋" w:hAnsi="仿宋" w:eastAsia="仿宋" w:cs="仿宋"/>
        </w:rPr>
        <w:t>2</w:t>
      </w:r>
      <w:bookmarkEnd w:id="21"/>
      <w:r>
        <w:rPr>
          <w:rFonts w:hint="eastAsia" w:ascii="仿宋" w:hAnsi="仿宋" w:eastAsia="仿宋" w:cs="仿宋"/>
        </w:rPr>
        <w:t>.矿区申购报名</w:t>
      </w:r>
      <w:bookmarkEnd w:id="22"/>
      <w:bookmarkEnd w:id="23"/>
    </w:p>
    <w:p w14:paraId="5139DB25">
      <w:pPr>
        <w:spacing w:line="360" w:lineRule="auto"/>
        <w:ind w:firstLine="640" w:firstLineChars="200"/>
        <w:rPr>
          <w:rFonts w:hint="eastAsia" w:eastAsia="仿宋"/>
          <w:lang w:eastAsia="zh-CN"/>
        </w:rPr>
      </w:pPr>
      <w:r>
        <w:rPr>
          <w:rFonts w:hint="eastAsia"/>
          <w:lang w:val="en-US" w:eastAsia="zh-CN"/>
        </w:rPr>
        <w:t>在</w:t>
      </w:r>
      <w:r>
        <w:rPr>
          <w:rFonts w:hint="eastAsia"/>
        </w:rPr>
        <w:t>决定购买某一个矿区</w:t>
      </w:r>
      <w:r>
        <w:rPr>
          <w:rFonts w:hint="eastAsia"/>
          <w:lang w:val="en-US" w:eastAsia="zh-CN"/>
        </w:rPr>
        <w:t>之后</w:t>
      </w:r>
      <w:r>
        <w:rPr>
          <w:rFonts w:hint="eastAsia"/>
        </w:rPr>
        <w:t>，需要找到该矿区公告信息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我要报名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。</w:t>
      </w:r>
    </w:p>
    <w:p w14:paraId="3398E8E4">
      <w:pPr>
        <w:widowControl/>
        <w:spacing w:line="360" w:lineRule="auto"/>
        <w:jc w:val="center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2981325" cy="2686050"/>
            <wp:effectExtent l="0" t="0" r="9525" b="0"/>
            <wp:docPr id="45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2EA205">
      <w:pPr>
        <w:spacing w:line="360" w:lineRule="auto"/>
        <w:ind w:firstLine="640" w:firstLineChars="200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我要报名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按钮后，弹出报名流程；首先显示的是竞买规则。</w:t>
      </w:r>
    </w:p>
    <w:p w14:paraId="190AA230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4598035" cy="2019300"/>
            <wp:effectExtent l="0" t="0" r="12065" b="0"/>
            <wp:docPr id="46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FCD564">
      <w:pPr>
        <w:pStyle w:val="8"/>
        <w:spacing w:line="360" w:lineRule="auto"/>
        <w:ind w:firstLine="640" w:firstLineChars="200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>在仔细阅读交易规则后，点击下方的</w:t>
      </w:r>
      <w:r>
        <w:rPr>
          <w:rFonts w:hint="eastAsia"/>
          <w:lang w:eastAsia="zh-CN"/>
        </w:rPr>
        <w:t>“</w:t>
      </w:r>
      <w:r>
        <w:rPr>
          <w:rFonts w:hint="eastAsia"/>
        </w:rPr>
        <w:t>同意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按钮。进入选择竞买方式环节。选择单独竞买直接进入下一步流程，此处以联合申请为例：</w:t>
      </w:r>
    </w:p>
    <w:p w14:paraId="499341E2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79390" cy="2179955"/>
            <wp:effectExtent l="0" t="0" r="8890" b="14605"/>
            <wp:docPr id="47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534BCD">
      <w:pPr>
        <w:widowControl/>
        <w:spacing w:line="360" w:lineRule="auto"/>
        <w:ind w:firstLine="640" w:firstLineChars="200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>对于联合申请的，联合企业的信息也要在系统完成注册。填写联合竞买企业信息，并获得该企业同意以后，才能进行下一步。下一步是选择是否要成立新公司。</w:t>
      </w:r>
    </w:p>
    <w:p w14:paraId="638FC300">
      <w:pPr>
        <w:widowControl/>
        <w:spacing w:line="360" w:lineRule="auto"/>
        <w:jc w:val="left"/>
      </w:pPr>
      <w:r>
        <w:drawing>
          <wp:inline distT="0" distB="0" distL="114300" distR="114300">
            <wp:extent cx="5267325" cy="2270125"/>
            <wp:effectExtent l="0" t="0" r="9525" b="15875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B470">
      <w:pPr>
        <w:widowControl/>
        <w:spacing w:line="360" w:lineRule="auto"/>
        <w:ind w:firstLine="640" w:firstLineChars="200"/>
        <w:jc w:val="left"/>
      </w:pPr>
      <w:r>
        <w:rPr>
          <w:rFonts w:hint="eastAsia"/>
        </w:rPr>
        <w:t>选择不成立新公司，直接进入下一步，此处以成立新公司为例。点击成立新公司，需要填写新公司</w:t>
      </w:r>
      <w:r>
        <w:rPr>
          <w:rFonts w:hint="eastAsia"/>
          <w:lang w:val="en-US" w:eastAsia="zh-CN"/>
        </w:rPr>
        <w:t>的基本信息</w:t>
      </w:r>
      <w:r>
        <w:rPr>
          <w:rFonts w:hint="eastAsia"/>
        </w:rPr>
        <w:t>。</w:t>
      </w:r>
    </w:p>
    <w:p w14:paraId="236EF392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182870" cy="2079625"/>
            <wp:effectExtent l="0" t="0" r="17780" b="15875"/>
            <wp:docPr id="49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82FB6E">
      <w:pPr>
        <w:pStyle w:val="8"/>
        <w:ind w:firstLine="640" w:firstLineChars="200"/>
        <w:rPr>
          <w:rFonts w:hint="eastAsia"/>
        </w:rPr>
      </w:pPr>
      <w:r>
        <w:rPr>
          <w:rFonts w:hint="eastAsia"/>
        </w:rPr>
        <w:t>填写完成以后，点击下一步，填写竞买申请书，竞买申请书中的信息都是根据以往信息生成，需填报人自行核对，核对无误后，上传交易所必需的附件，上传完成以后点击下一步，选择保证金交纳银行。</w:t>
      </w:r>
    </w:p>
    <w:p w14:paraId="25F4B189">
      <w:pPr>
        <w:widowControl/>
        <w:spacing w:line="360" w:lineRule="auto"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20335" cy="2487295"/>
            <wp:effectExtent l="0" t="0" r="6985" b="12065"/>
            <wp:docPr id="56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4B90F0">
      <w:pPr>
        <w:widowControl/>
        <w:spacing w:line="360" w:lineRule="auto"/>
        <w:ind w:firstLine="640" w:firstLineChars="200"/>
        <w:jc w:val="left"/>
      </w:pPr>
      <w:r>
        <w:rPr>
          <w:rFonts w:hint="eastAsia"/>
        </w:rPr>
        <w:t>选择保证金缴纳银行以后，生成保证金子账户。按照系统</w:t>
      </w:r>
      <w:r>
        <w:rPr>
          <w:rFonts w:hint="eastAsia"/>
          <w:lang w:val="en-US" w:eastAsia="zh-CN"/>
        </w:rPr>
        <w:t>所给</w:t>
      </w:r>
      <w:r>
        <w:rPr>
          <w:rFonts w:hint="eastAsia"/>
        </w:rPr>
        <w:t>的保证金账号信息，缴纳保证金，保证金缴纳完成以后到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我的项</w:t>
      </w:r>
      <w:r>
        <w:rPr>
          <w:rFonts w:hint="eastAsia"/>
          <w:lang w:val="en-US" w:eastAsia="zh-CN"/>
        </w:rPr>
        <w:t>目</w:t>
      </w:r>
      <w:r>
        <w:rPr>
          <w:rFonts w:hint="eastAsia"/>
          <w:lang w:eastAsia="zh-CN"/>
        </w:rPr>
        <w:t>”</w:t>
      </w:r>
      <w:r>
        <w:rPr>
          <w:rFonts w:hint="eastAsia"/>
        </w:rPr>
        <w:t>中进行资格确认。</w:t>
      </w:r>
    </w:p>
    <w:p w14:paraId="69041B8E">
      <w:pPr>
        <w:pStyle w:val="3"/>
        <w:spacing w:before="0" w:after="0"/>
      </w:pPr>
      <w:bookmarkStart w:id="24" w:name="_Toc13722"/>
      <w:bookmarkStart w:id="25" w:name="_Toc17797"/>
      <w:bookmarkStart w:id="26" w:name="_Toc533862001"/>
      <w:r>
        <w:rPr>
          <w:rFonts w:hint="eastAsia"/>
        </w:rPr>
        <w:t>（二）我的项目</w:t>
      </w:r>
      <w:bookmarkEnd w:id="24"/>
      <w:bookmarkEnd w:id="25"/>
      <w:bookmarkEnd w:id="26"/>
    </w:p>
    <w:p w14:paraId="5DA204A7">
      <w:pPr>
        <w:spacing w:line="360" w:lineRule="auto"/>
        <w:ind w:firstLine="640" w:firstLineChars="200"/>
      </w:pPr>
      <w:r>
        <w:rPr>
          <w:rFonts w:hint="eastAsia"/>
        </w:rPr>
        <w:t>我的项目中主要显示所有本单位报名过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矿权项目信息。</w:t>
      </w:r>
    </w:p>
    <w:p w14:paraId="2B99745A">
      <w:pPr>
        <w:widowControl/>
        <w:spacing w:line="360" w:lineRule="auto"/>
        <w:jc w:val="left"/>
      </w:pPr>
      <w:r>
        <w:rPr>
          <w:rFonts w:ascii="宋体" w:hAnsi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5224145" cy="2436495"/>
            <wp:effectExtent l="0" t="0" r="3175" b="1905"/>
            <wp:docPr id="57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1179F0">
      <w:pPr>
        <w:pStyle w:val="4"/>
        <w:spacing w:before="0" w:after="0"/>
        <w:ind w:firstLine="640" w:firstLineChars="200"/>
        <w:rPr>
          <w:rFonts w:hint="eastAsia" w:ascii="仿宋" w:hAnsi="仿宋" w:eastAsia="仿宋" w:cs="仿宋"/>
        </w:rPr>
      </w:pPr>
      <w:bookmarkStart w:id="27" w:name="_Toc8780"/>
      <w:bookmarkStart w:id="28" w:name="_Toc32555"/>
      <w:bookmarkStart w:id="29" w:name="_Toc533862002"/>
      <w:r>
        <w:rPr>
          <w:rFonts w:hint="eastAsia" w:ascii="仿宋" w:hAnsi="仿宋" w:eastAsia="仿宋" w:cs="仿宋"/>
        </w:rPr>
        <w:t>1.项目详情</w:t>
      </w:r>
      <w:bookmarkEnd w:id="27"/>
      <w:bookmarkEnd w:id="28"/>
      <w:bookmarkEnd w:id="29"/>
    </w:p>
    <w:p w14:paraId="6E7FAC79">
      <w:pPr>
        <w:spacing w:line="360" w:lineRule="auto"/>
        <w:ind w:firstLine="640" w:firstLineChars="200"/>
      </w:pPr>
      <w:r>
        <w:rPr>
          <w:rFonts w:hint="eastAsia"/>
        </w:rPr>
        <w:t>点击项目详情可以查看项目公告信息，功能同招标公告中公告详情。</w:t>
      </w:r>
    </w:p>
    <w:p w14:paraId="33089851">
      <w:pPr>
        <w:pStyle w:val="4"/>
        <w:spacing w:before="0" w:after="0"/>
        <w:ind w:firstLine="640" w:firstLineChars="200"/>
      </w:pPr>
      <w:bookmarkStart w:id="30" w:name="_Toc28795"/>
      <w:bookmarkStart w:id="31" w:name="_Toc9979"/>
      <w:bookmarkStart w:id="32" w:name="_Toc533862003"/>
      <w:r>
        <w:rPr>
          <w:rFonts w:hint="eastAsia" w:ascii="仿宋" w:hAnsi="仿宋" w:eastAsia="仿宋" w:cs="仿宋"/>
        </w:rPr>
        <w:t>2.项目流程</w:t>
      </w:r>
      <w:bookmarkEnd w:id="30"/>
      <w:bookmarkEnd w:id="31"/>
      <w:bookmarkEnd w:id="32"/>
    </w:p>
    <w:p w14:paraId="5C0DC9C8">
      <w:pPr>
        <w:spacing w:afterAutospacing="0" w:line="360" w:lineRule="auto"/>
        <w:ind w:firstLine="640" w:firstLineChars="200"/>
        <w:rPr>
          <w:rFonts w:hint="eastAsia"/>
        </w:rPr>
      </w:pPr>
      <w:r>
        <w:rPr>
          <w:rFonts w:hint="eastAsia"/>
        </w:rPr>
        <w:t>项目流程同招标公告中的流程。</w:t>
      </w:r>
      <w:bookmarkStart w:id="33" w:name="_Toc11470"/>
      <w:bookmarkStart w:id="34" w:name="_Toc18676"/>
    </w:p>
    <w:p w14:paraId="0B771FA4">
      <w:pPr>
        <w:pStyle w:val="4"/>
        <w:bidi w:val="0"/>
        <w:spacing w:before="0" w:beforeAutospacing="0" w:after="0" w:afterAutospacing="0"/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3.</w:t>
      </w:r>
      <w:bookmarkStart w:id="35" w:name="_GoBack"/>
      <w:bookmarkEnd w:id="35"/>
      <w:r>
        <w:rPr>
          <w:rFonts w:hint="eastAsia" w:ascii="仿宋" w:hAnsi="仿宋" w:eastAsia="仿宋" w:cs="仿宋"/>
        </w:rPr>
        <w:t>竞价</w:t>
      </w:r>
      <w:bookmarkEnd w:id="33"/>
      <w:bookmarkEnd w:id="34"/>
    </w:p>
    <w:p w14:paraId="45B9547A">
      <w:pPr>
        <w:numPr>
          <w:numId w:val="0"/>
        </w:numPr>
        <w:spacing w:beforeAutospacing="0" w:line="360" w:lineRule="auto"/>
        <w:ind w:firstLine="640" w:firstLineChars="200"/>
      </w:pPr>
      <w:r>
        <w:rPr>
          <w:rFonts w:hint="eastAsia"/>
        </w:rPr>
        <w:t>资格确认完成以后，在我的项目中点击我要报价，系统自动跳转到竞价系统，按照页面提示进行报价即可。</w:t>
      </w:r>
    </w:p>
    <w:p w14:paraId="71EA9EAA">
      <w:pPr>
        <w:spacing w:line="360" w:lineRule="auto"/>
      </w:pPr>
      <w:r>
        <w:drawing>
          <wp:inline distT="0" distB="0" distL="114300" distR="114300">
            <wp:extent cx="5274310" cy="2525395"/>
            <wp:effectExtent l="0" t="0" r="2540" b="825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D180">
      <w:pPr>
        <w:spacing w:line="360" w:lineRule="auto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F76D8D">
    <w:pPr>
      <w:pStyle w:val="1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F1CFA2">
                          <w:pPr>
                            <w:pStyle w:val="12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F1CFA2">
                    <w:pPr>
                      <w:pStyle w:val="12"/>
                      <w:rPr>
                        <w:rFonts w:eastAsiaTheme="minor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A317D0"/>
    <w:multiLevelType w:val="singleLevel"/>
    <w:tmpl w:val="BCA317D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xMjA5OTA2YTY4MmFmNzJiNGM5M2RhMzU3NzRlYjYifQ=="/>
  </w:docVars>
  <w:rsids>
    <w:rsidRoot w:val="00A27DAB"/>
    <w:rsid w:val="00037B57"/>
    <w:rsid w:val="00081F7D"/>
    <w:rsid w:val="000B7AF5"/>
    <w:rsid w:val="00200201"/>
    <w:rsid w:val="003B3F31"/>
    <w:rsid w:val="004835B4"/>
    <w:rsid w:val="004D2026"/>
    <w:rsid w:val="004F3344"/>
    <w:rsid w:val="008D5A33"/>
    <w:rsid w:val="00A27DAB"/>
    <w:rsid w:val="00B2523D"/>
    <w:rsid w:val="00B720D3"/>
    <w:rsid w:val="00C118BC"/>
    <w:rsid w:val="00C802E9"/>
    <w:rsid w:val="00C92EB2"/>
    <w:rsid w:val="00D72480"/>
    <w:rsid w:val="00D85E5B"/>
    <w:rsid w:val="00ED00F5"/>
    <w:rsid w:val="00FC4B8E"/>
    <w:rsid w:val="024141DC"/>
    <w:rsid w:val="031D2B95"/>
    <w:rsid w:val="06734B80"/>
    <w:rsid w:val="0CF41118"/>
    <w:rsid w:val="0E130163"/>
    <w:rsid w:val="0E651252"/>
    <w:rsid w:val="11EE543D"/>
    <w:rsid w:val="1A866937"/>
    <w:rsid w:val="1D03682B"/>
    <w:rsid w:val="1E633DAF"/>
    <w:rsid w:val="21A429B6"/>
    <w:rsid w:val="22C32496"/>
    <w:rsid w:val="22F55F7E"/>
    <w:rsid w:val="240478B5"/>
    <w:rsid w:val="2608197C"/>
    <w:rsid w:val="26153106"/>
    <w:rsid w:val="2AB949A8"/>
    <w:rsid w:val="2EC456C9"/>
    <w:rsid w:val="2F46249C"/>
    <w:rsid w:val="30BC0D4E"/>
    <w:rsid w:val="323E39E4"/>
    <w:rsid w:val="36617CA1"/>
    <w:rsid w:val="36BD56F1"/>
    <w:rsid w:val="374262C0"/>
    <w:rsid w:val="37F7266B"/>
    <w:rsid w:val="38213CBF"/>
    <w:rsid w:val="39F01A68"/>
    <w:rsid w:val="3A6F5044"/>
    <w:rsid w:val="3E0C4997"/>
    <w:rsid w:val="3ED5122D"/>
    <w:rsid w:val="3EEA4F4F"/>
    <w:rsid w:val="41566655"/>
    <w:rsid w:val="42F223AD"/>
    <w:rsid w:val="450B59A8"/>
    <w:rsid w:val="470D4AE1"/>
    <w:rsid w:val="493F20C4"/>
    <w:rsid w:val="4B2E419E"/>
    <w:rsid w:val="4BD034A7"/>
    <w:rsid w:val="4E2125F7"/>
    <w:rsid w:val="5460490D"/>
    <w:rsid w:val="566478A6"/>
    <w:rsid w:val="58953AAF"/>
    <w:rsid w:val="636F13CA"/>
    <w:rsid w:val="646802C9"/>
    <w:rsid w:val="652E43C0"/>
    <w:rsid w:val="66C0619B"/>
    <w:rsid w:val="69CD62F0"/>
    <w:rsid w:val="70B52AE8"/>
    <w:rsid w:val="71DE0938"/>
    <w:rsid w:val="7463096B"/>
    <w:rsid w:val="76534474"/>
    <w:rsid w:val="76733229"/>
    <w:rsid w:val="78E139B7"/>
    <w:rsid w:val="7B50138A"/>
    <w:rsid w:val="7DD81BC4"/>
    <w:rsid w:val="93D35A0B"/>
    <w:rsid w:val="BF6FD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qFormat="1" w:unhideWhenUsed="0" w:uiPriority="0" w:semiHidden="0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spacing w:before="340" w:after="330" w:line="578" w:lineRule="auto"/>
      <w:outlineLvl w:val="0"/>
    </w:pPr>
    <w:rPr>
      <w:rFonts w:eastAsia="黑体" w:asciiTheme="minorAscii" w:hAnsiTheme="minorAscii"/>
      <w:bCs/>
      <w:kern w:val="44"/>
      <w:sz w:val="32"/>
      <w:szCs w:val="44"/>
    </w:rPr>
  </w:style>
  <w:style w:type="paragraph" w:styleId="3">
    <w:name w:val="heading 2"/>
    <w:basedOn w:val="1"/>
    <w:next w:val="1"/>
    <w:link w:val="3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楷体" w:asciiTheme="majorAscii" w:hAnsiTheme="majorAscii" w:cstheme="majorBidi"/>
      <w:bCs/>
      <w:sz w:val="32"/>
      <w:szCs w:val="32"/>
    </w:rPr>
  </w:style>
  <w:style w:type="paragraph" w:styleId="4">
    <w:name w:val="heading 3"/>
    <w:basedOn w:val="1"/>
    <w:next w:val="1"/>
    <w:link w:val="38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仿宋" w:asciiTheme="minorAscii" w:hAnsiTheme="minorAscii"/>
      <w:bCs/>
      <w:sz w:val="32"/>
      <w:szCs w:val="32"/>
    </w:rPr>
  </w:style>
  <w:style w:type="paragraph" w:styleId="5">
    <w:name w:val="heading 4"/>
    <w:basedOn w:val="1"/>
    <w:next w:val="1"/>
    <w:link w:val="3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eastAsia="仿宋" w:asciiTheme="majorAscii" w:hAnsiTheme="majorAscii" w:cstheme="majorBidi"/>
      <w:bCs/>
      <w:sz w:val="32"/>
      <w:szCs w:val="28"/>
    </w:rPr>
  </w:style>
  <w:style w:type="paragraph" w:styleId="6">
    <w:name w:val="heading 5"/>
    <w:basedOn w:val="1"/>
    <w:next w:val="1"/>
    <w:link w:val="4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0">
    <w:name w:val="Default Paragraph Font"/>
    <w:semiHidden/>
    <w:unhideWhenUsed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link w:val="44"/>
    <w:unhideWhenUsed/>
    <w:qFormat/>
    <w:uiPriority w:val="99"/>
    <w:pPr>
      <w:jc w:val="left"/>
    </w:pPr>
  </w:style>
  <w:style w:type="paragraph" w:styleId="9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Balloon Text"/>
    <w:basedOn w:val="1"/>
    <w:link w:val="43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7">
    <w:name w:val="annotation subject"/>
    <w:basedOn w:val="8"/>
    <w:next w:val="8"/>
    <w:link w:val="45"/>
    <w:unhideWhenUsed/>
    <w:qFormat/>
    <w:uiPriority w:val="99"/>
    <w:rPr>
      <w:b/>
      <w:bCs/>
    </w:rPr>
  </w:style>
  <w:style w:type="paragraph" w:styleId="18">
    <w:name w:val="Body Text First Indent 2"/>
    <w:basedOn w:val="9"/>
    <w:semiHidden/>
    <w:unhideWhenUsed/>
    <w:qFormat/>
    <w:uiPriority w:val="99"/>
    <w:pPr>
      <w:ind w:firstLine="420" w:firstLineChars="200"/>
    </w:p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FollowedHyperlink"/>
    <w:basedOn w:val="20"/>
    <w:semiHidden/>
    <w:unhideWhenUsed/>
    <w:qFormat/>
    <w:uiPriority w:val="99"/>
    <w:rPr>
      <w:color w:val="800080"/>
      <w:u w:val="none"/>
    </w:rPr>
  </w:style>
  <w:style w:type="character" w:styleId="23">
    <w:name w:val="Emphasis"/>
    <w:basedOn w:val="20"/>
    <w:qFormat/>
    <w:uiPriority w:val="20"/>
    <w:rPr>
      <w:b/>
    </w:rPr>
  </w:style>
  <w:style w:type="character" w:styleId="24">
    <w:name w:val="HTML Definition"/>
    <w:basedOn w:val="20"/>
    <w:semiHidden/>
    <w:unhideWhenUsed/>
    <w:qFormat/>
    <w:uiPriority w:val="99"/>
  </w:style>
  <w:style w:type="character" w:styleId="25">
    <w:name w:val="HTML Typewriter"/>
    <w:basedOn w:val="20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6">
    <w:name w:val="HTML Acronym"/>
    <w:basedOn w:val="20"/>
    <w:semiHidden/>
    <w:unhideWhenUsed/>
    <w:qFormat/>
    <w:uiPriority w:val="99"/>
  </w:style>
  <w:style w:type="character" w:styleId="27">
    <w:name w:val="HTML Variable"/>
    <w:basedOn w:val="20"/>
    <w:semiHidden/>
    <w:unhideWhenUsed/>
    <w:qFormat/>
    <w:uiPriority w:val="99"/>
  </w:style>
  <w:style w:type="character" w:styleId="28">
    <w:name w:val="Hyperlink"/>
    <w:basedOn w:val="2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9">
    <w:name w:val="HTML Code"/>
    <w:basedOn w:val="20"/>
    <w:semiHidden/>
    <w:unhideWhenUsed/>
    <w:qFormat/>
    <w:uiPriority w:val="99"/>
    <w:rPr>
      <w:rFonts w:ascii="monospace" w:hAnsi="monospace" w:eastAsia="monospace" w:cs="monospace"/>
      <w:sz w:val="20"/>
    </w:rPr>
  </w:style>
  <w:style w:type="character" w:styleId="30">
    <w:name w:val="annotation reference"/>
    <w:basedOn w:val="20"/>
    <w:unhideWhenUsed/>
    <w:qFormat/>
    <w:uiPriority w:val="99"/>
    <w:rPr>
      <w:sz w:val="21"/>
      <w:szCs w:val="21"/>
    </w:rPr>
  </w:style>
  <w:style w:type="character" w:styleId="31">
    <w:name w:val="HTML Cite"/>
    <w:basedOn w:val="20"/>
    <w:semiHidden/>
    <w:unhideWhenUsed/>
    <w:qFormat/>
    <w:uiPriority w:val="99"/>
  </w:style>
  <w:style w:type="character" w:styleId="32">
    <w:name w:val="HTML Keyboard"/>
    <w:basedOn w:val="20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3">
    <w:name w:val="HTML Sample"/>
    <w:basedOn w:val="20"/>
    <w:semiHidden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34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35">
    <w:name w:val="页脚 字符"/>
    <w:basedOn w:val="20"/>
    <w:link w:val="12"/>
    <w:qFormat/>
    <w:uiPriority w:val="99"/>
    <w:rPr>
      <w:sz w:val="18"/>
      <w:szCs w:val="18"/>
    </w:rPr>
  </w:style>
  <w:style w:type="character" w:customStyle="1" w:styleId="36">
    <w:name w:val="标题 1 字符"/>
    <w:basedOn w:val="20"/>
    <w:link w:val="2"/>
    <w:qFormat/>
    <w:uiPriority w:val="9"/>
    <w:rPr>
      <w:rFonts w:eastAsia="黑体" w:asciiTheme="minorAscii" w:hAnsiTheme="minorAscii"/>
      <w:bCs/>
      <w:kern w:val="44"/>
      <w:sz w:val="32"/>
      <w:szCs w:val="44"/>
    </w:rPr>
  </w:style>
  <w:style w:type="character" w:customStyle="1" w:styleId="37">
    <w:name w:val="标题 2 字符"/>
    <w:basedOn w:val="20"/>
    <w:link w:val="3"/>
    <w:qFormat/>
    <w:uiPriority w:val="9"/>
    <w:rPr>
      <w:rFonts w:eastAsia="楷体" w:asciiTheme="majorAscii" w:hAnsiTheme="majorAscii" w:cstheme="majorBidi"/>
      <w:bCs/>
      <w:sz w:val="32"/>
      <w:szCs w:val="32"/>
    </w:rPr>
  </w:style>
  <w:style w:type="character" w:customStyle="1" w:styleId="38">
    <w:name w:val="标题 3 字符"/>
    <w:basedOn w:val="20"/>
    <w:link w:val="4"/>
    <w:qFormat/>
    <w:uiPriority w:val="9"/>
    <w:rPr>
      <w:rFonts w:eastAsia="仿宋" w:asciiTheme="minorAscii" w:hAnsiTheme="minorAscii"/>
      <w:bCs/>
      <w:sz w:val="32"/>
      <w:szCs w:val="32"/>
    </w:rPr>
  </w:style>
  <w:style w:type="character" w:customStyle="1" w:styleId="39">
    <w:name w:val="标题 4 字符"/>
    <w:basedOn w:val="20"/>
    <w:link w:val="5"/>
    <w:qFormat/>
    <w:uiPriority w:val="9"/>
    <w:rPr>
      <w:rFonts w:eastAsia="仿宋" w:asciiTheme="majorAscii" w:hAnsiTheme="majorAscii" w:cstheme="majorBidi"/>
      <w:bCs/>
      <w:sz w:val="32"/>
      <w:szCs w:val="28"/>
    </w:rPr>
  </w:style>
  <w:style w:type="character" w:customStyle="1" w:styleId="40">
    <w:name w:val="标题 5 字符"/>
    <w:basedOn w:val="20"/>
    <w:link w:val="6"/>
    <w:qFormat/>
    <w:uiPriority w:val="9"/>
    <w:rPr>
      <w:b/>
      <w:bCs/>
      <w:sz w:val="28"/>
      <w:szCs w:val="28"/>
    </w:rPr>
  </w:style>
  <w:style w:type="character" w:customStyle="1" w:styleId="41">
    <w:name w:val="标题 6 字符"/>
    <w:basedOn w:val="20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2">
    <w:name w:val="列表段落1"/>
    <w:basedOn w:val="1"/>
    <w:qFormat/>
    <w:uiPriority w:val="34"/>
    <w:pPr>
      <w:ind w:firstLine="420" w:firstLineChars="200"/>
    </w:pPr>
  </w:style>
  <w:style w:type="character" w:customStyle="1" w:styleId="43">
    <w:name w:val="批注框文本 字符"/>
    <w:basedOn w:val="20"/>
    <w:link w:val="11"/>
    <w:semiHidden/>
    <w:qFormat/>
    <w:uiPriority w:val="99"/>
    <w:rPr>
      <w:sz w:val="18"/>
      <w:szCs w:val="18"/>
    </w:rPr>
  </w:style>
  <w:style w:type="character" w:customStyle="1" w:styleId="44">
    <w:name w:val="批注文字 字符"/>
    <w:basedOn w:val="20"/>
    <w:link w:val="8"/>
    <w:semiHidden/>
    <w:qFormat/>
    <w:uiPriority w:val="99"/>
  </w:style>
  <w:style w:type="character" w:customStyle="1" w:styleId="45">
    <w:name w:val="批注主题 字符"/>
    <w:basedOn w:val="44"/>
    <w:link w:val="17"/>
    <w:semiHidden/>
    <w:qFormat/>
    <w:uiPriority w:val="99"/>
    <w:rPr>
      <w:b/>
      <w:bCs/>
    </w:rPr>
  </w:style>
  <w:style w:type="paragraph" w:customStyle="1" w:styleId="4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7">
    <w:name w:val="hover1"/>
    <w:basedOn w:val="20"/>
    <w:qFormat/>
    <w:uiPriority w:val="0"/>
    <w:rPr>
      <w:color w:val="2590EB"/>
    </w:rPr>
  </w:style>
  <w:style w:type="character" w:customStyle="1" w:styleId="48">
    <w:name w:val="hover2"/>
    <w:basedOn w:val="20"/>
    <w:qFormat/>
    <w:uiPriority w:val="0"/>
    <w:rPr>
      <w:color w:val="2590EB"/>
    </w:rPr>
  </w:style>
  <w:style w:type="character" w:customStyle="1" w:styleId="49">
    <w:name w:val="hover3"/>
    <w:basedOn w:val="20"/>
    <w:qFormat/>
    <w:uiPriority w:val="0"/>
  </w:style>
  <w:style w:type="paragraph" w:customStyle="1" w:styleId="50">
    <w:name w:val="WPSOffice手动目录 1"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51">
    <w:name w:val="WPSOffice手动目录 2"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52">
    <w:name w:val="WPSOffice手动目录 3"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3287</Words>
  <Characters>3345</Characters>
  <Lines>41</Lines>
  <Paragraphs>11</Paragraphs>
  <TotalTime>0</TotalTime>
  <ScaleCrop>false</ScaleCrop>
  <LinksUpToDate>false</LinksUpToDate>
  <CharactersWithSpaces>3355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2019-01-22T17:25:00Z</dcterms:created>
  <dc:creator>Epoint</dc:creator>
  <cp:lastModifiedBy>张三名</cp:lastModifiedBy>
  <dcterms:modified xsi:type="dcterms:W3CDTF">2024-06-25T06:59:39Z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9F32CBBC70254D6D8FBDE4AF04342ACF_12</vt:lpwstr>
  </property>
</Properties>
</file>