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BAF8F7">
      <w:pPr>
        <w:pStyle w:val="80"/>
        <w:rPr>
          <w:rFonts w:eastAsia="华文新魏"/>
          <w:b/>
          <w:spacing w:val="-70"/>
          <w:sz w:val="72"/>
          <w:szCs w:val="72"/>
        </w:rPr>
      </w:pPr>
    </w:p>
    <w:p w14:paraId="5800E702">
      <w:pPr>
        <w:pStyle w:val="80"/>
        <w:rPr>
          <w:rFonts w:eastAsia="华文新魏"/>
          <w:b/>
          <w:spacing w:val="-70"/>
          <w:sz w:val="72"/>
          <w:szCs w:val="72"/>
        </w:rPr>
      </w:pPr>
    </w:p>
    <w:p w14:paraId="641BF62C">
      <w:pPr>
        <w:ind w:firstLine="0" w:firstLineChars="0"/>
      </w:pPr>
    </w:p>
    <w:p w14:paraId="5537254A">
      <w:pPr>
        <w:ind w:firstLine="1044" w:firstLineChars="200"/>
        <w:jc w:val="both"/>
        <w:rPr>
          <w:rFonts w:hint="default" w:eastAsia="宋体"/>
          <w:b/>
          <w:sz w:val="52"/>
          <w:szCs w:val="52"/>
          <w:lang w:val="en-US" w:eastAsia="zh-CN"/>
        </w:rPr>
      </w:pPr>
      <w:r>
        <w:rPr>
          <w:rFonts w:hint="eastAsia" w:ascii="Times New Roman" w:eastAsia="宋体"/>
          <w:b/>
          <w:sz w:val="52"/>
          <w:szCs w:val="52"/>
          <w:lang w:val="en-US" w:eastAsia="zh-CN"/>
        </w:rPr>
        <w:t>济南公共资源电子交易系统</w:t>
      </w:r>
    </w:p>
    <w:p w14:paraId="7EB57050">
      <w:pPr>
        <w:ind w:firstLine="0" w:firstLineChars="0"/>
        <w:jc w:val="both"/>
      </w:pPr>
    </w:p>
    <w:p w14:paraId="19A0D701">
      <w:pPr>
        <w:ind w:firstLine="0" w:firstLineChars="0"/>
        <w:jc w:val="both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产权交易</w:t>
      </w:r>
      <w:r>
        <w:rPr>
          <w:rFonts w:hint="eastAsia"/>
          <w:b/>
          <w:sz w:val="52"/>
          <w:szCs w:val="52"/>
          <w:lang w:val="en-US" w:eastAsia="zh-CN"/>
        </w:rPr>
        <w:t>招标人（代理）</w:t>
      </w:r>
      <w:r>
        <w:rPr>
          <w:rFonts w:hint="eastAsia"/>
          <w:b/>
          <w:sz w:val="52"/>
          <w:szCs w:val="52"/>
        </w:rPr>
        <w:t>操作手册</w:t>
      </w:r>
    </w:p>
    <w:p w14:paraId="23AE03F0">
      <w:pPr>
        <w:pStyle w:val="56"/>
        <w:ind w:firstLine="360"/>
      </w:pPr>
    </w:p>
    <w:p w14:paraId="2E53C89C">
      <w:pPr>
        <w:pStyle w:val="56"/>
        <w:ind w:firstLine="360"/>
      </w:pPr>
    </w:p>
    <w:p w14:paraId="78D95DB9">
      <w:pPr>
        <w:pStyle w:val="56"/>
        <w:ind w:firstLine="360"/>
      </w:pPr>
    </w:p>
    <w:p w14:paraId="0677E938">
      <w:pPr>
        <w:pStyle w:val="56"/>
        <w:ind w:firstLine="360"/>
      </w:pPr>
    </w:p>
    <w:p w14:paraId="0446B182">
      <w:pPr>
        <w:pStyle w:val="56"/>
        <w:ind w:firstLine="360"/>
      </w:pPr>
    </w:p>
    <w:p w14:paraId="35132C95">
      <w:pPr>
        <w:pStyle w:val="56"/>
        <w:ind w:firstLine="360"/>
      </w:pPr>
    </w:p>
    <w:p w14:paraId="176A640C">
      <w:pPr>
        <w:pStyle w:val="56"/>
        <w:ind w:firstLine="360"/>
      </w:pPr>
    </w:p>
    <w:p w14:paraId="74760B9B">
      <w:pPr>
        <w:pStyle w:val="56"/>
        <w:ind w:firstLine="360"/>
      </w:pPr>
    </w:p>
    <w:p w14:paraId="6FB79E2F">
      <w:pPr>
        <w:pStyle w:val="56"/>
        <w:ind w:firstLine="360"/>
      </w:pPr>
    </w:p>
    <w:p w14:paraId="208FF256">
      <w:pPr>
        <w:ind w:firstLine="0" w:firstLineChars="0"/>
        <w:rPr>
          <w:b/>
        </w:rPr>
      </w:pPr>
    </w:p>
    <w:p w14:paraId="0E35B661">
      <w:pPr>
        <w:ind w:firstLine="0" w:firstLineChars="0"/>
        <w:rPr>
          <w:b/>
        </w:rPr>
      </w:pPr>
    </w:p>
    <w:p w14:paraId="1F7019B1">
      <w:pPr>
        <w:ind w:firstLine="0" w:firstLineChars="0"/>
        <w:rPr>
          <w:b/>
        </w:rPr>
      </w:pPr>
    </w:p>
    <w:p w14:paraId="3BAD810A">
      <w:pPr>
        <w:ind w:firstLine="0" w:firstLineChars="0"/>
        <w:rPr>
          <w:b/>
        </w:rPr>
      </w:pPr>
    </w:p>
    <w:p w14:paraId="3846E76C">
      <w:pPr>
        <w:ind w:firstLine="0" w:firstLineChars="0"/>
        <w:rPr>
          <w:b/>
        </w:rPr>
      </w:pPr>
    </w:p>
    <w:p w14:paraId="08E8E875">
      <w:pPr>
        <w:ind w:firstLine="0" w:firstLineChars="0"/>
        <w:rPr>
          <w:b/>
        </w:rPr>
      </w:pPr>
    </w:p>
    <w:p w14:paraId="3F1F2BD1">
      <w:pPr>
        <w:ind w:firstLine="0" w:firstLineChars="0"/>
        <w:rPr>
          <w:b/>
        </w:rPr>
      </w:pPr>
    </w:p>
    <w:p w14:paraId="746DDF1E">
      <w:pPr>
        <w:ind w:firstLine="0" w:firstLineChars="0"/>
        <w:jc w:val="center"/>
        <w:rPr>
          <w:rFonts w:hint="default" w:eastAsia="宋体"/>
          <w:b/>
          <w:lang w:val="en-US" w:eastAsia="zh-CN"/>
        </w:rPr>
      </w:pPr>
      <w:r>
        <w:rPr>
          <w:rFonts w:hint="eastAsia"/>
          <w:b/>
          <w:lang w:val="en-US" w:eastAsia="zh-CN"/>
        </w:rPr>
        <w:t>2025年12月</w:t>
      </w:r>
      <w:bookmarkStart w:id="5" w:name="_GoBack"/>
      <w:bookmarkEnd w:id="5"/>
    </w:p>
    <w:p w14:paraId="4488C58D">
      <w:pPr>
        <w:pStyle w:val="2"/>
      </w:pPr>
      <w:bookmarkStart w:id="0" w:name="_Toc2970"/>
      <w:r>
        <w:rPr>
          <w:rFonts w:hint="eastAsia"/>
        </w:rPr>
        <w:t>产权交易电子</w:t>
      </w:r>
      <w:r>
        <w:rPr>
          <w:rFonts w:hint="eastAsia"/>
          <w:lang w:val="en-US" w:eastAsia="zh-CN"/>
        </w:rPr>
        <w:t>交易</w:t>
      </w:r>
      <w:r>
        <w:rPr>
          <w:rFonts w:hint="eastAsia"/>
        </w:rPr>
        <w:t>系统</w:t>
      </w:r>
      <w:bookmarkEnd w:id="0"/>
    </w:p>
    <w:p w14:paraId="2ED56EF4">
      <w:pPr>
        <w:pStyle w:val="3"/>
      </w:pPr>
      <w:bookmarkStart w:id="1" w:name="_Toc18976"/>
      <w:bookmarkStart w:id="2" w:name="_Toc24615"/>
      <w:r>
        <w:rPr>
          <w:rFonts w:hint="eastAsia"/>
        </w:rPr>
        <w:t>登录系统</w:t>
      </w:r>
      <w:bookmarkEnd w:id="1"/>
      <w:bookmarkEnd w:id="2"/>
    </w:p>
    <w:p w14:paraId="0E9037F7"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</w:p>
    <w:p w14:paraId="37EDE19D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</w:rPr>
        <w:t>登录</w:t>
      </w:r>
      <w:r>
        <w:rPr>
          <w:rFonts w:hint="eastAsia" w:ascii="宋体" w:hAnsi="宋体"/>
          <w:lang w:val="en-US" w:eastAsia="zh-CN"/>
        </w:rPr>
        <w:t>招标人业务</w:t>
      </w:r>
      <w:r>
        <w:rPr>
          <w:rFonts w:hint="eastAsia" w:ascii="宋体" w:hAnsi="宋体"/>
        </w:rPr>
        <w:t>系统</w:t>
      </w:r>
    </w:p>
    <w:p w14:paraId="5A46429F">
      <w:pPr>
        <w:ind w:firstLine="422"/>
      </w:pPr>
      <w:r>
        <w:rPr>
          <w:rFonts w:ascii="宋体" w:hAnsi="宋体"/>
          <w:b/>
        </w:rPr>
        <w:t>操作步骤：</w:t>
      </w:r>
    </w:p>
    <w:p w14:paraId="7AD2F3EE">
      <w:pPr>
        <w:numPr>
          <w:ilvl w:val="0"/>
          <w:numId w:val="2"/>
        </w:numPr>
        <w:ind w:firstLineChars="0"/>
      </w:pPr>
      <w:r>
        <w:rPr>
          <w:rFonts w:hint="eastAsia"/>
        </w:rPr>
        <w:t>打开系统首页，如下图：</w:t>
      </w:r>
    </w:p>
    <w:p w14:paraId="16E84F0C">
      <w:pPr>
        <w:ind w:firstLine="0" w:firstLineChars="0"/>
      </w:pPr>
      <w:r>
        <w:drawing>
          <wp:inline distT="0" distB="0" distL="114300" distR="114300">
            <wp:extent cx="5273675" cy="2234565"/>
            <wp:effectExtent l="0" t="0" r="3175" b="1333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3544A">
      <w:r>
        <w:rPr>
          <w:rFonts w:hint="eastAsia"/>
        </w:rPr>
        <w:t>2、使用交易平台提供的登录账号和密码可以登录系统。如下图：</w:t>
      </w:r>
    </w:p>
    <w:p w14:paraId="07ED6DEA">
      <w:pPr>
        <w:ind w:left="0" w:leftChars="0" w:firstLine="0" w:firstLineChars="0"/>
      </w:pPr>
      <w:r>
        <w:drawing>
          <wp:inline distT="0" distB="0" distL="114300" distR="114300">
            <wp:extent cx="5274310" cy="2331085"/>
            <wp:effectExtent l="0" t="0" r="2540" b="1206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6D27">
      <w:pPr>
        <w:pStyle w:val="3"/>
        <w:numPr>
          <w:ilvl w:val="1"/>
          <w:numId w:val="0"/>
        </w:numPr>
        <w:ind w:left="142" w:leftChars="0"/>
        <w:rPr>
          <w:rFonts w:hint="default"/>
          <w:lang w:val="en-US"/>
        </w:rPr>
      </w:pPr>
      <w:bookmarkStart w:id="3" w:name="_Toc15987"/>
      <w:bookmarkStart w:id="4" w:name="_Toc7980"/>
      <w:r>
        <w:rPr>
          <w:rFonts w:hint="eastAsia"/>
          <w:lang w:val="en-US" w:eastAsia="zh-CN"/>
        </w:rPr>
        <w:t>1.</w:t>
      </w:r>
      <w:bookmarkEnd w:id="3"/>
      <w:bookmarkEnd w:id="4"/>
      <w:r>
        <w:rPr>
          <w:rFonts w:hint="eastAsia"/>
          <w:lang w:val="en-US" w:eastAsia="zh-CN"/>
        </w:rPr>
        <w:t>2进场登记</w:t>
      </w:r>
    </w:p>
    <w:p w14:paraId="1925CD69">
      <w:pPr>
        <w:ind w:left="0" w:leftChars="0" w:firstLine="422" w:firstLineChars="200"/>
        <w:rPr>
          <w:rFonts w:hint="eastAsia"/>
          <w:b w:val="0"/>
          <w:bCs/>
          <w:lang w:val="en-US" w:eastAsia="zh-CN"/>
        </w:rPr>
      </w:pPr>
      <w:r>
        <w:rPr>
          <w:b/>
        </w:rPr>
        <w:t>前提条件：</w:t>
      </w:r>
      <w:r>
        <w:rPr>
          <w:rFonts w:hint="eastAsia"/>
          <w:b w:val="0"/>
          <w:bCs/>
          <w:lang w:val="en-US" w:eastAsia="zh-CN"/>
        </w:rPr>
        <w:t>无</w:t>
      </w:r>
    </w:p>
    <w:p w14:paraId="2B23F72A">
      <w:pPr>
        <w:ind w:firstLine="422"/>
        <w:rPr>
          <w:rFonts w:hint="default" w:eastAsia="宋体"/>
          <w:lang w:val="en-US" w:eastAsia="zh-CN"/>
        </w:rPr>
      </w:pPr>
      <w:r>
        <w:rPr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登记项目进场信息，登记业主信息</w:t>
      </w:r>
    </w:p>
    <w:p w14:paraId="717AE618">
      <w:pPr>
        <w:ind w:firstLine="422"/>
        <w:rPr>
          <w:b/>
        </w:rPr>
      </w:pPr>
      <w:r>
        <w:rPr>
          <w:b/>
        </w:rPr>
        <w:t>操作步骤：</w:t>
      </w:r>
    </w:p>
    <w:p w14:paraId="45505541">
      <w:pPr>
        <w:ind w:firstLine="420"/>
      </w:pPr>
      <w:r>
        <w:rPr>
          <w:rFonts w:hint="eastAsia"/>
        </w:rPr>
        <w:t>1、</w:t>
      </w:r>
      <w:r>
        <w:rPr>
          <w:rFonts w:hint="eastAsia"/>
          <w:lang w:val="en-US" w:eastAsia="zh-CN"/>
        </w:rPr>
        <w:t>代理</w:t>
      </w:r>
      <w:r>
        <w:rPr>
          <w:rFonts w:hint="eastAsia"/>
        </w:rPr>
        <w:t>进入交易平台，点击“</w:t>
      </w:r>
      <w:r>
        <w:rPr>
          <w:rFonts w:hint="eastAsia"/>
          <w:lang w:val="en-US" w:eastAsia="zh-CN"/>
        </w:rPr>
        <w:t>进场登记</w:t>
      </w:r>
      <w:r>
        <w:rPr>
          <w:rFonts w:hint="eastAsia"/>
        </w:rPr>
        <w:t>”，如下图：</w:t>
      </w:r>
    </w:p>
    <w:p w14:paraId="03FF7C56">
      <w:pPr>
        <w:ind w:firstLine="0" w:firstLineChars="0"/>
      </w:pPr>
      <w:r>
        <w:drawing>
          <wp:inline distT="0" distB="0" distL="114300" distR="114300">
            <wp:extent cx="5271135" cy="2420620"/>
            <wp:effectExtent l="0" t="0" r="5715" b="1778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54419">
      <w:pPr>
        <w:numPr>
          <w:ilvl w:val="0"/>
          <w:numId w:val="2"/>
        </w:numPr>
        <w:ind w:left="784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进入产权交易流程页面，录入进场登记信息</w:t>
      </w:r>
    </w:p>
    <w:p w14:paraId="7E407EAB">
      <w:pPr>
        <w:numPr>
          <w:ilvl w:val="0"/>
          <w:numId w:val="0"/>
        </w:numPr>
      </w:pPr>
      <w:r>
        <w:drawing>
          <wp:inline distT="0" distB="0" distL="114300" distR="114300">
            <wp:extent cx="5277485" cy="2195830"/>
            <wp:effectExtent l="0" t="0" r="18415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3A04E">
      <w:pPr>
        <w:pStyle w:val="3"/>
        <w:numPr>
          <w:ilvl w:val="1"/>
          <w:numId w:val="0"/>
        </w:numPr>
        <w:ind w:left="142"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1.3 标的划分</w:t>
      </w:r>
    </w:p>
    <w:p w14:paraId="0161A78A">
      <w:pPr>
        <w:ind w:left="0" w:leftChars="0" w:firstLine="422" w:firstLineChars="200"/>
        <w:rPr>
          <w:rFonts w:hint="default" w:eastAsia="宋体"/>
          <w:b w:val="0"/>
          <w:bCs/>
          <w:lang w:val="en-US" w:eastAsia="zh-CN"/>
        </w:rPr>
      </w:pPr>
      <w:r>
        <w:rPr>
          <w:b/>
        </w:rPr>
        <w:t>前提条件：</w:t>
      </w:r>
      <w:r>
        <w:rPr>
          <w:rFonts w:hint="eastAsia"/>
          <w:b/>
          <w:lang w:val="en-US" w:eastAsia="zh-CN"/>
        </w:rPr>
        <w:t>进场登记</w:t>
      </w:r>
    </w:p>
    <w:p w14:paraId="77320788">
      <w:pPr>
        <w:ind w:firstLine="422"/>
        <w:rPr>
          <w:rFonts w:hint="default" w:eastAsia="宋体"/>
          <w:lang w:val="en-US" w:eastAsia="zh-CN"/>
        </w:rPr>
      </w:pPr>
      <w:r>
        <w:rPr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登记项目进场信息，登记业主信息</w:t>
      </w:r>
    </w:p>
    <w:p w14:paraId="24B4E20B">
      <w:pPr>
        <w:ind w:firstLine="422"/>
        <w:rPr>
          <w:b/>
        </w:rPr>
      </w:pPr>
      <w:r>
        <w:rPr>
          <w:b/>
        </w:rPr>
        <w:t>操作步骤：</w:t>
      </w:r>
    </w:p>
    <w:p w14:paraId="7DA27B7D">
      <w:pPr>
        <w:numPr>
          <w:ilvl w:val="0"/>
          <w:numId w:val="3"/>
        </w:numPr>
        <w:ind w:firstLine="422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点击标的划分，新增标的划分，可以将登记的转让信息进行划分</w:t>
      </w:r>
    </w:p>
    <w:p w14:paraId="698F8487">
      <w:pPr>
        <w:numPr>
          <w:ilvl w:val="0"/>
          <w:numId w:val="0"/>
        </w:numPr>
      </w:pPr>
      <w:r>
        <w:drawing>
          <wp:inline distT="0" distB="0" distL="114300" distR="114300">
            <wp:extent cx="5271135" cy="2240280"/>
            <wp:effectExtent l="0" t="0" r="5715" b="762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C2008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点击新增标的</w:t>
      </w:r>
    </w:p>
    <w:p w14:paraId="5DFA3AD9">
      <w:pPr>
        <w:numPr>
          <w:ilvl w:val="0"/>
          <w:numId w:val="0"/>
        </w:numPr>
      </w:pPr>
      <w:r>
        <w:drawing>
          <wp:inline distT="0" distB="0" distL="114300" distR="114300">
            <wp:extent cx="5266055" cy="2223135"/>
            <wp:effectExtent l="0" t="0" r="10795" b="571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02CB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在新增标的页面录入标的信息</w:t>
      </w:r>
    </w:p>
    <w:p w14:paraId="261EC319">
      <w:pPr>
        <w:numPr>
          <w:ilvl w:val="0"/>
          <w:numId w:val="0"/>
        </w:numPr>
      </w:pPr>
      <w:r>
        <w:drawing>
          <wp:inline distT="0" distB="0" distL="114300" distR="114300">
            <wp:extent cx="5268595" cy="2178685"/>
            <wp:effectExtent l="0" t="0" r="8255" b="1206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1FECB">
      <w:pPr>
        <w:pStyle w:val="3"/>
        <w:numPr>
          <w:ilvl w:val="1"/>
          <w:numId w:val="0"/>
        </w:numPr>
        <w:ind w:left="142"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1.4 组建项目</w:t>
      </w:r>
    </w:p>
    <w:p w14:paraId="1741CB31">
      <w:pPr>
        <w:ind w:left="0" w:leftChars="0" w:firstLine="422" w:firstLineChars="200"/>
        <w:rPr>
          <w:rFonts w:hint="default" w:eastAsia="宋体"/>
          <w:b w:val="0"/>
          <w:bCs/>
          <w:lang w:val="en-US" w:eastAsia="zh-CN"/>
        </w:rPr>
      </w:pPr>
      <w:r>
        <w:rPr>
          <w:b/>
        </w:rPr>
        <w:t>前提条件：</w:t>
      </w:r>
      <w:r>
        <w:rPr>
          <w:rFonts w:hint="eastAsia"/>
          <w:b/>
          <w:lang w:val="en-US" w:eastAsia="zh-CN"/>
        </w:rPr>
        <w:t>标的划分</w:t>
      </w:r>
    </w:p>
    <w:p w14:paraId="3F2F1863">
      <w:pPr>
        <w:ind w:firstLine="422"/>
        <w:rPr>
          <w:rFonts w:hint="default" w:eastAsia="宋体"/>
          <w:lang w:val="en-US" w:eastAsia="zh-CN"/>
        </w:rPr>
      </w:pPr>
      <w:r>
        <w:rPr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将不同标的组建在一起</w:t>
      </w:r>
    </w:p>
    <w:p w14:paraId="63FC776F">
      <w:pPr>
        <w:ind w:firstLine="422"/>
        <w:rPr>
          <w:b/>
        </w:rPr>
      </w:pPr>
      <w:r>
        <w:rPr>
          <w:b/>
        </w:rPr>
        <w:t>操作步骤：</w:t>
      </w:r>
    </w:p>
    <w:p w14:paraId="655D5EBC">
      <w:pPr>
        <w:numPr>
          <w:ilvl w:val="0"/>
          <w:numId w:val="4"/>
        </w:numPr>
        <w:ind w:firstLine="422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点击新增项目组建，可以挑选不同的标的，进行项目组建</w:t>
      </w:r>
    </w:p>
    <w:p w14:paraId="5CBC6588">
      <w:pPr>
        <w:numPr>
          <w:ilvl w:val="0"/>
          <w:numId w:val="0"/>
        </w:numPr>
      </w:pPr>
      <w:r>
        <w:drawing>
          <wp:inline distT="0" distB="0" distL="114300" distR="114300">
            <wp:extent cx="5269230" cy="2252980"/>
            <wp:effectExtent l="0" t="0" r="7620" b="1397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29037">
      <w:pPr>
        <w:numPr>
          <w:ilvl w:val="0"/>
          <w:numId w:val="0"/>
        </w:numPr>
      </w:pPr>
      <w:r>
        <w:drawing>
          <wp:inline distT="0" distB="0" distL="114300" distR="114300">
            <wp:extent cx="5274945" cy="2220595"/>
            <wp:effectExtent l="0" t="0" r="1905" b="825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8B7C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9206B95">
      <w:pPr>
        <w:pStyle w:val="3"/>
        <w:numPr>
          <w:ilvl w:val="1"/>
          <w:numId w:val="0"/>
        </w:numPr>
        <w:ind w:left="142"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1.5 交易公告备案</w:t>
      </w:r>
    </w:p>
    <w:p w14:paraId="22C47D18">
      <w:pPr>
        <w:ind w:left="0" w:leftChars="0" w:firstLine="422" w:firstLineChars="200"/>
        <w:rPr>
          <w:rFonts w:hint="default" w:eastAsia="宋体"/>
          <w:b w:val="0"/>
          <w:bCs/>
          <w:lang w:val="en-US" w:eastAsia="zh-CN"/>
        </w:rPr>
      </w:pPr>
      <w:r>
        <w:rPr>
          <w:b/>
        </w:rPr>
        <w:t>前提条件：</w:t>
      </w:r>
      <w:r>
        <w:rPr>
          <w:rFonts w:hint="eastAsia"/>
          <w:b/>
          <w:lang w:val="en-US" w:eastAsia="zh-CN"/>
        </w:rPr>
        <w:t>标的划分</w:t>
      </w:r>
    </w:p>
    <w:p w14:paraId="02FBD39D">
      <w:pPr>
        <w:ind w:firstLine="422"/>
        <w:rPr>
          <w:rFonts w:hint="eastAsia"/>
          <w:b w:val="0"/>
          <w:bCs/>
          <w:lang w:val="en-US" w:eastAsia="zh-CN"/>
        </w:rPr>
      </w:pPr>
      <w:r>
        <w:rPr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用于发布交易公告</w:t>
      </w:r>
    </w:p>
    <w:p w14:paraId="4166A87D">
      <w:pPr>
        <w:ind w:firstLine="422"/>
        <w:rPr>
          <w:b/>
        </w:rPr>
      </w:pPr>
      <w:r>
        <w:rPr>
          <w:b/>
        </w:rPr>
        <w:t>操作步骤：</w:t>
      </w:r>
    </w:p>
    <w:p w14:paraId="1123E706">
      <w:pPr>
        <w:numPr>
          <w:ilvl w:val="0"/>
          <w:numId w:val="5"/>
        </w:numPr>
        <w:ind w:firstLine="422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点击交易公告备案，新增交易公告</w:t>
      </w:r>
    </w:p>
    <w:p w14:paraId="0EFE72EB">
      <w:pPr>
        <w:numPr>
          <w:ilvl w:val="0"/>
          <w:numId w:val="0"/>
        </w:numPr>
      </w:pPr>
      <w:r>
        <w:drawing>
          <wp:inline distT="0" distB="0" distL="114300" distR="114300">
            <wp:extent cx="5267960" cy="2312035"/>
            <wp:effectExtent l="0" t="0" r="8890" b="1206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D1562">
      <w:pPr>
        <w:numPr>
          <w:ilvl w:val="0"/>
          <w:numId w:val="5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挑选到需要发布公告的标的，进入公告填写页面，可以填写公告开始和截止时间，保证金缴纳时间，以及公告内容等信息，发布公告后，竞买人可以进行报名。</w:t>
      </w:r>
    </w:p>
    <w:p w14:paraId="190D08A7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195195"/>
            <wp:effectExtent l="0" t="0" r="9525" b="1460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4F5E6">
      <w:pPr>
        <w:keepNext/>
        <w:keepLines/>
        <w:widowControl w:val="0"/>
        <w:numPr>
          <w:ilvl w:val="1"/>
          <w:numId w:val="0"/>
        </w:numPr>
        <w:spacing w:before="120" w:after="120" w:line="360" w:lineRule="auto"/>
        <w:ind w:left="142" w:leftChars="0" w:firstLine="420" w:firstLineChars="0"/>
        <w:jc w:val="both"/>
        <w:outlineLvl w:val="1"/>
        <w:rPr>
          <w:rFonts w:hint="default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1.6 澄清公告备案</w:t>
      </w:r>
    </w:p>
    <w:p w14:paraId="2287287A">
      <w:pPr>
        <w:ind w:left="0" w:leftChars="0" w:firstLine="422" w:firstLineChars="200"/>
        <w:rPr>
          <w:rFonts w:hint="default" w:eastAsia="宋体"/>
          <w:b w:val="0"/>
          <w:bCs/>
          <w:lang w:val="en-US" w:eastAsia="zh-CN"/>
        </w:rPr>
      </w:pPr>
      <w:r>
        <w:rPr>
          <w:b/>
        </w:rPr>
        <w:t>前提条件：</w:t>
      </w:r>
      <w:r>
        <w:rPr>
          <w:rFonts w:hint="eastAsia"/>
          <w:b/>
          <w:lang w:val="en-US" w:eastAsia="zh-CN"/>
        </w:rPr>
        <w:t>交易公告备案</w:t>
      </w:r>
    </w:p>
    <w:p w14:paraId="7387818A">
      <w:pPr>
        <w:ind w:firstLine="422"/>
        <w:rPr>
          <w:rFonts w:hint="eastAsia"/>
          <w:b w:val="0"/>
          <w:bCs/>
          <w:lang w:val="en-US" w:eastAsia="zh-CN"/>
        </w:rPr>
      </w:pPr>
      <w:r>
        <w:rPr>
          <w:b/>
        </w:rPr>
        <w:t>基本功能：</w:t>
      </w:r>
      <w:r>
        <w:rPr>
          <w:rFonts w:hint="eastAsia" w:ascii="Times New Roman" w:eastAsia="宋体"/>
          <w:b w:val="0"/>
          <w:bCs/>
          <w:lang w:val="en-US" w:eastAsia="zh-CN"/>
        </w:rPr>
        <w:t>用于发布</w:t>
      </w:r>
      <w:r>
        <w:rPr>
          <w:rFonts w:hint="eastAsia"/>
          <w:b w:val="0"/>
          <w:bCs/>
          <w:lang w:val="en-US" w:eastAsia="zh-CN"/>
        </w:rPr>
        <w:t>变更</w:t>
      </w:r>
      <w:r>
        <w:rPr>
          <w:rFonts w:hint="eastAsia" w:ascii="Times New Roman" w:eastAsia="宋体"/>
          <w:b w:val="0"/>
          <w:bCs/>
          <w:lang w:val="en-US" w:eastAsia="zh-CN"/>
        </w:rPr>
        <w:t>公告</w:t>
      </w:r>
    </w:p>
    <w:p w14:paraId="3C07CD1F">
      <w:pPr>
        <w:ind w:firstLine="422"/>
        <w:rPr>
          <w:b/>
        </w:rPr>
      </w:pPr>
      <w:r>
        <w:rPr>
          <w:b/>
        </w:rPr>
        <w:t>操作步骤：</w:t>
      </w:r>
    </w:p>
    <w:p w14:paraId="2F4A9009">
      <w:pPr>
        <w:ind w:firstLine="422"/>
        <w:rPr>
          <w:rFonts w:hint="default" w:eastAsia="宋体"/>
          <w:b/>
          <w:lang w:val="en-US" w:eastAsia="zh-CN"/>
        </w:rPr>
      </w:pPr>
      <w:r>
        <w:rPr>
          <w:rFonts w:hint="eastAsia"/>
          <w:b/>
          <w:lang w:val="en-US" w:eastAsia="zh-CN"/>
        </w:rPr>
        <w:t>1、操作步骤同交易公告</w:t>
      </w:r>
    </w:p>
    <w:p w14:paraId="1DA7F550">
      <w:pPr>
        <w:numPr>
          <w:ilvl w:val="0"/>
          <w:numId w:val="0"/>
        </w:numPr>
        <w:rPr>
          <w:rFonts w:hint="default"/>
          <w:b/>
          <w:lang w:val="en-US" w:eastAsia="zh-CN"/>
        </w:rPr>
      </w:pPr>
      <w:r>
        <w:drawing>
          <wp:inline distT="0" distB="0" distL="114300" distR="114300">
            <wp:extent cx="5268595" cy="2376170"/>
            <wp:effectExtent l="0" t="0" r="8255" b="508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036B6">
      <w:pPr>
        <w:keepNext/>
        <w:keepLines/>
        <w:widowControl w:val="0"/>
        <w:numPr>
          <w:ilvl w:val="1"/>
          <w:numId w:val="0"/>
        </w:numPr>
        <w:spacing w:before="120" w:after="120" w:line="360" w:lineRule="auto"/>
        <w:ind w:left="142" w:leftChars="0" w:firstLine="420" w:firstLineChars="0"/>
        <w:jc w:val="both"/>
        <w:outlineLvl w:val="1"/>
        <w:rPr>
          <w:rFonts w:hint="default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1.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7</w:t>
      </w: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受让人报名备案</w:t>
      </w:r>
    </w:p>
    <w:p w14:paraId="3FB2673B">
      <w:pPr>
        <w:ind w:left="0" w:leftChars="0" w:firstLine="422" w:firstLineChars="200"/>
        <w:rPr>
          <w:rFonts w:hint="default" w:eastAsia="宋体"/>
          <w:b w:val="0"/>
          <w:bCs/>
          <w:lang w:val="en-US" w:eastAsia="zh-CN"/>
        </w:rPr>
      </w:pPr>
      <w:r>
        <w:rPr>
          <w:b/>
        </w:rPr>
        <w:t>前提条件：</w:t>
      </w:r>
      <w:r>
        <w:rPr>
          <w:rFonts w:hint="eastAsia"/>
          <w:b/>
          <w:lang w:val="en-US" w:eastAsia="zh-CN"/>
        </w:rPr>
        <w:t>交易公告备案</w:t>
      </w:r>
    </w:p>
    <w:p w14:paraId="40C058FE">
      <w:pPr>
        <w:ind w:firstLine="422"/>
        <w:rPr>
          <w:rFonts w:hint="default"/>
          <w:b w:val="0"/>
          <w:bCs/>
          <w:lang w:val="en-US" w:eastAsia="zh-CN"/>
        </w:rPr>
      </w:pPr>
      <w:r>
        <w:rPr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用于审查竞买人的资格</w:t>
      </w:r>
    </w:p>
    <w:p w14:paraId="1BFA253E">
      <w:pPr>
        <w:ind w:firstLine="422"/>
        <w:rPr>
          <w:b/>
        </w:rPr>
      </w:pPr>
      <w:r>
        <w:rPr>
          <w:b/>
        </w:rPr>
        <w:t>操作步骤：</w:t>
      </w:r>
    </w:p>
    <w:p w14:paraId="2850EC8F">
      <w:pPr>
        <w:numPr>
          <w:ilvl w:val="0"/>
          <w:numId w:val="6"/>
        </w:numPr>
        <w:ind w:firstLine="422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点击受让人报名，选择具体的标的，进入受让人资格审查页面</w:t>
      </w:r>
    </w:p>
    <w:p w14:paraId="6BF3C600">
      <w:pPr>
        <w:numPr>
          <w:ilvl w:val="0"/>
          <w:numId w:val="0"/>
        </w:numPr>
      </w:pPr>
      <w:r>
        <w:drawing>
          <wp:inline distT="0" distB="0" distL="114300" distR="114300">
            <wp:extent cx="5269230" cy="1983105"/>
            <wp:effectExtent l="0" t="0" r="7620" b="1714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C3281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进入资格审查页面</w:t>
      </w:r>
    </w:p>
    <w:p w14:paraId="6F4DBC33">
      <w:pPr>
        <w:numPr>
          <w:ilvl w:val="0"/>
          <w:numId w:val="0"/>
        </w:numPr>
      </w:pPr>
      <w:r>
        <w:drawing>
          <wp:inline distT="0" distB="0" distL="114300" distR="114300">
            <wp:extent cx="5265420" cy="2195195"/>
            <wp:effectExtent l="0" t="0" r="11430" b="1460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45C1">
      <w:pPr>
        <w:numPr>
          <w:ilvl w:val="0"/>
          <w:numId w:val="6"/>
        </w:numPr>
        <w:ind w:left="0" w:leftChars="0" w:firstLine="420" w:firstLineChars="200"/>
      </w:pPr>
      <w:r>
        <w:rPr>
          <w:rFonts w:hint="eastAsia"/>
          <w:lang w:val="en-US" w:eastAsia="zh-CN"/>
        </w:rPr>
        <w:t>点击具体受让人后面的按钮，可以看到受让人的详细报名情况，当资格审查不通过时，可以填写审查不通过原因。</w:t>
      </w:r>
    </w:p>
    <w:p w14:paraId="1BC3119C">
      <w:pPr>
        <w:numPr>
          <w:ilvl w:val="0"/>
          <w:numId w:val="0"/>
        </w:numPr>
      </w:pPr>
      <w:r>
        <w:drawing>
          <wp:inline distT="0" distB="0" distL="114300" distR="114300">
            <wp:extent cx="5271135" cy="2139950"/>
            <wp:effectExtent l="0" t="0" r="5715" b="1270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634D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D0F3ADD">
      <w:pPr>
        <w:keepNext/>
        <w:keepLines/>
        <w:widowControl w:val="0"/>
        <w:numPr>
          <w:ilvl w:val="1"/>
          <w:numId w:val="0"/>
        </w:numPr>
        <w:spacing w:before="120" w:after="120" w:line="360" w:lineRule="auto"/>
        <w:ind w:left="142" w:leftChars="0" w:firstLine="420" w:firstLineChars="0"/>
        <w:jc w:val="both"/>
        <w:outlineLvl w:val="1"/>
        <w:rPr>
          <w:rFonts w:hint="default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1.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8</w:t>
      </w: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竞价规则设置</w:t>
      </w:r>
    </w:p>
    <w:p w14:paraId="1817BFE5">
      <w:pPr>
        <w:ind w:left="0" w:leftChars="0" w:firstLine="422" w:firstLineChars="200"/>
        <w:rPr>
          <w:rFonts w:hint="default" w:eastAsia="宋体"/>
          <w:b w:val="0"/>
          <w:bCs/>
          <w:lang w:val="en-US" w:eastAsia="zh-CN"/>
        </w:rPr>
      </w:pPr>
      <w:r>
        <w:rPr>
          <w:b/>
        </w:rPr>
        <w:t>前提条件：</w:t>
      </w:r>
      <w:r>
        <w:rPr>
          <w:rFonts w:hint="eastAsia"/>
          <w:b/>
          <w:lang w:val="en-US" w:eastAsia="zh-CN"/>
        </w:rPr>
        <w:t>交易公告备案</w:t>
      </w:r>
    </w:p>
    <w:p w14:paraId="119DD10E">
      <w:pPr>
        <w:ind w:firstLine="422"/>
        <w:rPr>
          <w:rFonts w:hint="default"/>
          <w:b w:val="0"/>
          <w:bCs/>
          <w:lang w:val="en-US" w:eastAsia="zh-CN"/>
        </w:rPr>
      </w:pPr>
      <w:r>
        <w:rPr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用于设置竞价规则</w:t>
      </w:r>
    </w:p>
    <w:p w14:paraId="5920D919">
      <w:pPr>
        <w:ind w:firstLine="422"/>
        <w:rPr>
          <w:b/>
        </w:rPr>
      </w:pPr>
      <w:r>
        <w:rPr>
          <w:b/>
        </w:rPr>
        <w:t>操作步骤：</w:t>
      </w:r>
    </w:p>
    <w:p w14:paraId="2D950520">
      <w:pPr>
        <w:numPr>
          <w:ilvl w:val="0"/>
          <w:numId w:val="7"/>
        </w:num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点击新增竞价规则，进入竞价规则设置页面，可以设置各种竞价方式，竞价时间，报价幅度等。</w:t>
      </w:r>
    </w:p>
    <w:p w14:paraId="2A0FF0F8">
      <w:pPr>
        <w:numPr>
          <w:ilvl w:val="0"/>
          <w:numId w:val="0"/>
        </w:numPr>
        <w:rPr>
          <w:rFonts w:hint="default"/>
          <w:b/>
          <w:lang w:val="en-US" w:eastAsia="zh-CN"/>
        </w:rPr>
      </w:pPr>
      <w:r>
        <w:drawing>
          <wp:inline distT="0" distB="0" distL="114300" distR="114300">
            <wp:extent cx="5277485" cy="2214880"/>
            <wp:effectExtent l="0" t="0" r="18415" b="1397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D543B">
      <w:pPr>
        <w:keepNext/>
        <w:keepLines/>
        <w:widowControl w:val="0"/>
        <w:numPr>
          <w:ilvl w:val="1"/>
          <w:numId w:val="0"/>
        </w:numPr>
        <w:spacing w:before="120" w:after="120" w:line="360" w:lineRule="auto"/>
        <w:ind w:left="142" w:leftChars="0" w:firstLine="420" w:firstLineChars="0"/>
        <w:jc w:val="both"/>
        <w:outlineLvl w:val="1"/>
        <w:rPr>
          <w:rFonts w:hint="default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1.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竞价控制</w:t>
      </w:r>
    </w:p>
    <w:p w14:paraId="42C83B0A">
      <w:pPr>
        <w:ind w:left="0" w:leftChars="0" w:firstLine="422" w:firstLineChars="200"/>
        <w:rPr>
          <w:rFonts w:hint="eastAsia" w:eastAsia="宋体"/>
          <w:b w:val="0"/>
          <w:bCs/>
          <w:lang w:val="en-US" w:eastAsia="zh-CN"/>
        </w:rPr>
      </w:pPr>
      <w:r>
        <w:rPr>
          <w:b/>
        </w:rPr>
        <w:t>前提条件：</w:t>
      </w:r>
      <w:r>
        <w:rPr>
          <w:rFonts w:hint="eastAsia"/>
          <w:b/>
          <w:lang w:val="en-US" w:eastAsia="zh-CN"/>
        </w:rPr>
        <w:t>无</w:t>
      </w:r>
    </w:p>
    <w:p w14:paraId="3854ACC9">
      <w:pPr>
        <w:ind w:firstLine="422"/>
        <w:rPr>
          <w:rFonts w:hint="default"/>
          <w:b w:val="0"/>
          <w:bCs/>
          <w:lang w:val="en-US" w:eastAsia="zh-CN"/>
        </w:rPr>
      </w:pPr>
      <w:r>
        <w:rPr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用于控制竞价过程，可以暂停竞价</w:t>
      </w:r>
    </w:p>
    <w:p w14:paraId="7FFDDBB4">
      <w:pPr>
        <w:ind w:firstLine="422"/>
        <w:rPr>
          <w:b/>
        </w:rPr>
      </w:pPr>
      <w:r>
        <w:rPr>
          <w:b/>
        </w:rPr>
        <w:t>操作步骤：</w:t>
      </w:r>
    </w:p>
    <w:p w14:paraId="3EB8A3E2">
      <w:pPr>
        <w:ind w:firstLine="422"/>
        <w:rPr>
          <w:b/>
        </w:rPr>
      </w:pPr>
      <w:r>
        <w:drawing>
          <wp:inline distT="0" distB="0" distL="114300" distR="114300">
            <wp:extent cx="5277485" cy="2086610"/>
            <wp:effectExtent l="0" t="0" r="18415" b="889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B96A7">
      <w:pPr>
        <w:keepNext/>
        <w:keepLines/>
        <w:widowControl w:val="0"/>
        <w:numPr>
          <w:ilvl w:val="1"/>
          <w:numId w:val="0"/>
        </w:numPr>
        <w:spacing w:before="120" w:after="120" w:line="360" w:lineRule="auto"/>
        <w:ind w:left="142" w:leftChars="0" w:firstLine="420" w:firstLineChars="0"/>
        <w:jc w:val="both"/>
        <w:outlineLvl w:val="1"/>
        <w:rPr>
          <w:rFonts w:hint="default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1.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10</w:t>
      </w: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报价记录</w:t>
      </w:r>
    </w:p>
    <w:p w14:paraId="09359D70">
      <w:pPr>
        <w:ind w:left="0" w:leftChars="0" w:firstLine="422" w:firstLineChars="200"/>
        <w:rPr>
          <w:rFonts w:hint="eastAsia" w:eastAsia="宋体"/>
          <w:b w:val="0"/>
          <w:bCs/>
          <w:lang w:val="en-US" w:eastAsia="zh-CN"/>
        </w:rPr>
      </w:pPr>
      <w:r>
        <w:rPr>
          <w:b/>
        </w:rPr>
        <w:t>前提条件：</w:t>
      </w:r>
      <w:r>
        <w:rPr>
          <w:rFonts w:hint="eastAsia"/>
          <w:b/>
          <w:lang w:val="en-US" w:eastAsia="zh-CN"/>
        </w:rPr>
        <w:t>无</w:t>
      </w:r>
    </w:p>
    <w:p w14:paraId="7B784DCF">
      <w:pPr>
        <w:ind w:firstLine="422"/>
        <w:rPr>
          <w:rFonts w:hint="default"/>
          <w:b w:val="0"/>
          <w:bCs/>
          <w:lang w:val="en-US" w:eastAsia="zh-CN"/>
        </w:rPr>
      </w:pPr>
      <w:r>
        <w:rPr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用于查看报价记录</w:t>
      </w:r>
    </w:p>
    <w:p w14:paraId="40B75AD7">
      <w:pPr>
        <w:ind w:firstLine="422"/>
        <w:rPr>
          <w:b/>
        </w:rPr>
      </w:pPr>
      <w:r>
        <w:rPr>
          <w:b/>
        </w:rPr>
        <w:t>操作步骤：</w:t>
      </w:r>
    </w:p>
    <w:p w14:paraId="32F05585">
      <w:pPr>
        <w:numPr>
          <w:ilvl w:val="0"/>
          <w:numId w:val="8"/>
        </w:numPr>
        <w:ind w:firstLine="422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点击报价历史记录，进入标的list页面，选择需要查看的标的</w:t>
      </w:r>
    </w:p>
    <w:p w14:paraId="1F8D25E9">
      <w:pPr>
        <w:numPr>
          <w:ilvl w:val="0"/>
          <w:numId w:val="0"/>
        </w:numPr>
        <w:rPr>
          <w:rFonts w:hint="eastAsia"/>
          <w:b/>
          <w:lang w:val="en-US" w:eastAsia="zh-CN"/>
        </w:rPr>
      </w:pPr>
      <w:r>
        <w:drawing>
          <wp:inline distT="0" distB="0" distL="114300" distR="114300">
            <wp:extent cx="5274945" cy="2240280"/>
            <wp:effectExtent l="0" t="0" r="1905" b="762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3179E">
      <w:pPr>
        <w:numPr>
          <w:ilvl w:val="0"/>
          <w:numId w:val="8"/>
        </w:numPr>
        <w:ind w:firstLine="422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点击查看，进入历史记录查看页面</w:t>
      </w:r>
    </w:p>
    <w:p w14:paraId="08684C27">
      <w:pPr>
        <w:numPr>
          <w:ilvl w:val="0"/>
          <w:numId w:val="0"/>
        </w:numPr>
      </w:pPr>
      <w:r>
        <w:drawing>
          <wp:inline distT="0" distB="0" distL="114300" distR="114300">
            <wp:extent cx="5276215" cy="2186305"/>
            <wp:effectExtent l="0" t="0" r="635" b="444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51527">
      <w:pPr>
        <w:keepNext/>
        <w:keepLines/>
        <w:widowControl w:val="0"/>
        <w:numPr>
          <w:ilvl w:val="1"/>
          <w:numId w:val="0"/>
        </w:numPr>
        <w:spacing w:before="120" w:after="120" w:line="360" w:lineRule="auto"/>
        <w:ind w:left="142" w:leftChars="0" w:firstLine="420" w:firstLineChars="0"/>
        <w:jc w:val="both"/>
        <w:outlineLvl w:val="1"/>
        <w:rPr>
          <w:rFonts w:hint="default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1.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11</w:t>
      </w: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中标公示备案</w:t>
      </w:r>
    </w:p>
    <w:p w14:paraId="36549C5E">
      <w:pPr>
        <w:ind w:left="0" w:leftChars="0" w:firstLine="422" w:firstLineChars="200"/>
        <w:rPr>
          <w:rFonts w:hint="eastAsia" w:eastAsia="宋体"/>
          <w:b w:val="0"/>
          <w:bCs/>
          <w:lang w:val="en-US" w:eastAsia="zh-CN"/>
        </w:rPr>
      </w:pPr>
      <w:r>
        <w:rPr>
          <w:b/>
        </w:rPr>
        <w:t>前提条件：</w:t>
      </w:r>
      <w:r>
        <w:rPr>
          <w:rFonts w:hint="eastAsia"/>
          <w:b/>
          <w:lang w:val="en-US" w:eastAsia="zh-CN"/>
        </w:rPr>
        <w:t>无</w:t>
      </w:r>
    </w:p>
    <w:p w14:paraId="5826CD9F">
      <w:pPr>
        <w:ind w:firstLine="422"/>
        <w:rPr>
          <w:rFonts w:hint="default"/>
          <w:b w:val="0"/>
          <w:bCs/>
          <w:lang w:val="en-US" w:eastAsia="zh-CN"/>
        </w:rPr>
      </w:pPr>
      <w:r>
        <w:rPr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用于公布预成交公示</w:t>
      </w:r>
    </w:p>
    <w:p w14:paraId="4C244A9A">
      <w:pPr>
        <w:ind w:firstLine="422"/>
        <w:rPr>
          <w:rFonts w:hint="default" w:eastAsia="宋体"/>
          <w:b/>
          <w:lang w:val="en-US" w:eastAsia="zh-CN"/>
        </w:rPr>
      </w:pPr>
      <w:r>
        <w:rPr>
          <w:b/>
        </w:rPr>
        <w:t>操作步骤：</w:t>
      </w:r>
      <w:r>
        <w:rPr>
          <w:rFonts w:hint="eastAsia"/>
          <w:b/>
          <w:lang w:val="en-US" w:eastAsia="zh-CN"/>
        </w:rPr>
        <w:t>操作通交易公告</w:t>
      </w:r>
    </w:p>
    <w:p w14:paraId="0A028F1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9204738">
      <w:pPr>
        <w:keepNext/>
        <w:keepLines/>
        <w:widowControl w:val="0"/>
        <w:numPr>
          <w:ilvl w:val="1"/>
          <w:numId w:val="0"/>
        </w:numPr>
        <w:spacing w:before="120" w:after="120" w:line="360" w:lineRule="auto"/>
        <w:ind w:left="142" w:leftChars="0" w:firstLine="420" w:firstLineChars="0"/>
        <w:jc w:val="both"/>
        <w:outlineLvl w:val="1"/>
        <w:rPr>
          <w:rFonts w:hint="default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1.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12</w:t>
      </w: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成交公告备案</w:t>
      </w:r>
    </w:p>
    <w:p w14:paraId="21CB74C6">
      <w:pPr>
        <w:ind w:left="0" w:leftChars="0" w:firstLine="422" w:firstLineChars="200"/>
        <w:rPr>
          <w:rFonts w:hint="eastAsia" w:eastAsia="宋体"/>
          <w:b w:val="0"/>
          <w:bCs/>
          <w:lang w:val="en-US" w:eastAsia="zh-CN"/>
        </w:rPr>
      </w:pPr>
      <w:r>
        <w:rPr>
          <w:b/>
        </w:rPr>
        <w:t>前提条件：</w:t>
      </w:r>
      <w:r>
        <w:rPr>
          <w:rFonts w:hint="eastAsia"/>
          <w:b/>
          <w:lang w:val="en-US" w:eastAsia="zh-CN"/>
        </w:rPr>
        <w:t>无</w:t>
      </w:r>
    </w:p>
    <w:p w14:paraId="0A756956">
      <w:pPr>
        <w:ind w:firstLine="422"/>
        <w:rPr>
          <w:rFonts w:hint="default"/>
          <w:b w:val="0"/>
          <w:bCs/>
          <w:lang w:val="en-US" w:eastAsia="zh-CN"/>
        </w:rPr>
      </w:pPr>
      <w:r>
        <w:rPr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用于发布成交结果</w:t>
      </w:r>
    </w:p>
    <w:p w14:paraId="7B4D1D6B">
      <w:pPr>
        <w:ind w:firstLine="422"/>
        <w:rPr>
          <w:rFonts w:hint="default" w:eastAsia="宋体"/>
          <w:b/>
          <w:lang w:val="en-US" w:eastAsia="zh-CN"/>
        </w:rPr>
      </w:pPr>
      <w:r>
        <w:rPr>
          <w:b/>
        </w:rPr>
        <w:t>操作步骤：</w:t>
      </w:r>
      <w:r>
        <w:rPr>
          <w:rFonts w:hint="eastAsia"/>
          <w:b/>
          <w:lang w:val="en-US" w:eastAsia="zh-CN"/>
        </w:rPr>
        <w:t>操作同交易公告</w:t>
      </w:r>
    </w:p>
    <w:p w14:paraId="37E422BA">
      <w:pPr>
        <w:ind w:firstLine="422"/>
        <w:rPr>
          <w:rFonts w:hint="default" w:eastAsia="宋体"/>
          <w:b/>
          <w:lang w:val="en-US" w:eastAsia="zh-CN"/>
        </w:rPr>
      </w:pPr>
    </w:p>
    <w:p w14:paraId="3DE5CD5E">
      <w:pPr>
        <w:ind w:firstLine="422"/>
        <w:rPr>
          <w:b w:val="0"/>
          <w:bCs/>
        </w:rPr>
      </w:pPr>
    </w:p>
    <w:p w14:paraId="070EBB39">
      <w:pPr>
        <w:numPr>
          <w:ilvl w:val="0"/>
          <w:numId w:val="0"/>
        </w:numPr>
        <w:rPr>
          <w:rFonts w:hint="default" w:eastAsia="宋体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19EEF0"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江苏国泰新点软件有限公司0512-58188000                   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  <w:r>
      <w:rPr>
        <w:lang w:val="zh-CN"/>
      </w:rPr>
      <w:t>/</w:t>
    </w:r>
    <w:r>
      <w:rPr>
        <w:rFonts w:hint="eastAsia"/>
      </w:rPr>
      <w:t>27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DC740F"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1496D1"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16B172"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t>产权交易电子竞价</w:t>
    </w:r>
    <w:r>
      <w:rPr>
        <w:rFonts w:hint="eastAsia" w:ascii="Cambria" w:hAnsi="Cambria"/>
      </w:rPr>
      <w:t xml:space="preserve">操作手册          </w:t>
    </w:r>
    <w:r>
      <w:t>CS-XM-</w:t>
    </w:r>
    <w:r>
      <w:rPr>
        <w:rFonts w:hint="eastAsia"/>
      </w:rPr>
      <w:t>CZSC</w:t>
    </w:r>
    <w:r>
      <w:rPr>
        <w:rFonts w:hint="eastAsia"/>
        <w:color w:val="000000"/>
      </w:rPr>
      <w:t xml:space="preserve">2013021904-CQJY60303  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E4C5CA"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A6CF0E"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3523E6"/>
    <w:multiLevelType w:val="singleLevel"/>
    <w:tmpl w:val="883523E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9BCB3F6"/>
    <w:multiLevelType w:val="singleLevel"/>
    <w:tmpl w:val="D9BCB3F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9F33A7E"/>
    <w:multiLevelType w:val="singleLevel"/>
    <w:tmpl w:val="D9F33A7E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9F0A67A"/>
    <w:multiLevelType w:val="singleLevel"/>
    <w:tmpl w:val="39F0A67A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47D19E37"/>
    <w:multiLevelType w:val="singleLevel"/>
    <w:tmpl w:val="47D19E37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55F00978"/>
    <w:multiLevelType w:val="singleLevel"/>
    <w:tmpl w:val="55F00978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142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284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993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276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942"/>
        </w:tabs>
        <w:ind w:left="1418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942"/>
        </w:tabs>
        <w:ind w:left="1560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302"/>
        </w:tabs>
        <w:ind w:left="1701" w:hanging="1559"/>
      </w:pPr>
      <w:rPr>
        <w:rFonts w:hint="eastAsia"/>
      </w:rPr>
    </w:lvl>
  </w:abstractNum>
  <w:abstractNum w:abstractNumId="7">
    <w:nsid w:val="6C7F21D0"/>
    <w:multiLevelType w:val="multilevel"/>
    <w:tmpl w:val="6C7F21D0"/>
    <w:lvl w:ilvl="0" w:tentative="0">
      <w:start w:val="1"/>
      <w:numFmt w:val="decimal"/>
      <w:lvlText w:val="%1、"/>
      <w:lvlJc w:val="left"/>
      <w:pPr>
        <w:ind w:left="784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4" w:hanging="420"/>
      </w:pPr>
    </w:lvl>
    <w:lvl w:ilvl="2" w:tentative="0">
      <w:start w:val="1"/>
      <w:numFmt w:val="lowerRoman"/>
      <w:lvlText w:val="%3."/>
      <w:lvlJc w:val="right"/>
      <w:pPr>
        <w:ind w:left="1684" w:hanging="420"/>
      </w:pPr>
    </w:lvl>
    <w:lvl w:ilvl="3" w:tentative="0">
      <w:start w:val="1"/>
      <w:numFmt w:val="decimal"/>
      <w:lvlText w:val="%4."/>
      <w:lvlJc w:val="left"/>
      <w:pPr>
        <w:ind w:left="2104" w:hanging="420"/>
      </w:pPr>
    </w:lvl>
    <w:lvl w:ilvl="4" w:tentative="0">
      <w:start w:val="1"/>
      <w:numFmt w:val="lowerLetter"/>
      <w:lvlText w:val="%5)"/>
      <w:lvlJc w:val="left"/>
      <w:pPr>
        <w:ind w:left="2524" w:hanging="420"/>
      </w:pPr>
    </w:lvl>
    <w:lvl w:ilvl="5" w:tentative="0">
      <w:start w:val="1"/>
      <w:numFmt w:val="lowerRoman"/>
      <w:lvlText w:val="%6."/>
      <w:lvlJc w:val="right"/>
      <w:pPr>
        <w:ind w:left="2944" w:hanging="420"/>
      </w:pPr>
    </w:lvl>
    <w:lvl w:ilvl="6" w:tentative="0">
      <w:start w:val="1"/>
      <w:numFmt w:val="decimal"/>
      <w:lvlText w:val="%7."/>
      <w:lvlJc w:val="left"/>
      <w:pPr>
        <w:ind w:left="3364" w:hanging="420"/>
      </w:pPr>
    </w:lvl>
    <w:lvl w:ilvl="7" w:tentative="0">
      <w:start w:val="1"/>
      <w:numFmt w:val="lowerLetter"/>
      <w:lvlText w:val="%8)"/>
      <w:lvlJc w:val="left"/>
      <w:pPr>
        <w:ind w:left="3784" w:hanging="420"/>
      </w:pPr>
    </w:lvl>
    <w:lvl w:ilvl="8" w:tentative="0">
      <w:start w:val="1"/>
      <w:numFmt w:val="lowerRoman"/>
      <w:lvlText w:val="%9."/>
      <w:lvlJc w:val="right"/>
      <w:pPr>
        <w:ind w:left="4204" w:hanging="42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0A1"/>
    <w:rsid w:val="0001467A"/>
    <w:rsid w:val="000A23A7"/>
    <w:rsid w:val="000D2549"/>
    <w:rsid w:val="000D2C6D"/>
    <w:rsid w:val="00141796"/>
    <w:rsid w:val="00151D02"/>
    <w:rsid w:val="0017706A"/>
    <w:rsid w:val="0017711F"/>
    <w:rsid w:val="001C5E88"/>
    <w:rsid w:val="001F66B7"/>
    <w:rsid w:val="00217FF2"/>
    <w:rsid w:val="00271930"/>
    <w:rsid w:val="002A1AB8"/>
    <w:rsid w:val="002B3369"/>
    <w:rsid w:val="002D2C09"/>
    <w:rsid w:val="002E2A41"/>
    <w:rsid w:val="003D4DF3"/>
    <w:rsid w:val="003E62CC"/>
    <w:rsid w:val="00450DBA"/>
    <w:rsid w:val="004532EC"/>
    <w:rsid w:val="004A28BA"/>
    <w:rsid w:val="005331CC"/>
    <w:rsid w:val="005A4EE5"/>
    <w:rsid w:val="005D6982"/>
    <w:rsid w:val="00602B4A"/>
    <w:rsid w:val="00617B46"/>
    <w:rsid w:val="006320A1"/>
    <w:rsid w:val="00647565"/>
    <w:rsid w:val="00647C7F"/>
    <w:rsid w:val="006D0CFB"/>
    <w:rsid w:val="006F6AE2"/>
    <w:rsid w:val="00713B8C"/>
    <w:rsid w:val="00734774"/>
    <w:rsid w:val="007421D4"/>
    <w:rsid w:val="00766CED"/>
    <w:rsid w:val="007722CB"/>
    <w:rsid w:val="007E290A"/>
    <w:rsid w:val="00805132"/>
    <w:rsid w:val="00822F9F"/>
    <w:rsid w:val="008540AE"/>
    <w:rsid w:val="00874718"/>
    <w:rsid w:val="008A3255"/>
    <w:rsid w:val="008E6373"/>
    <w:rsid w:val="008F37DD"/>
    <w:rsid w:val="00933F3F"/>
    <w:rsid w:val="00947B89"/>
    <w:rsid w:val="00947F5E"/>
    <w:rsid w:val="00A05AF4"/>
    <w:rsid w:val="00A53B32"/>
    <w:rsid w:val="00AC6412"/>
    <w:rsid w:val="00AE6946"/>
    <w:rsid w:val="00B92A69"/>
    <w:rsid w:val="00BE1539"/>
    <w:rsid w:val="00C636AA"/>
    <w:rsid w:val="00CE3A9B"/>
    <w:rsid w:val="00CE480B"/>
    <w:rsid w:val="00D21EA2"/>
    <w:rsid w:val="00EB24FF"/>
    <w:rsid w:val="00F45FEF"/>
    <w:rsid w:val="00F477E8"/>
    <w:rsid w:val="00F5761E"/>
    <w:rsid w:val="00F639AC"/>
    <w:rsid w:val="036D6368"/>
    <w:rsid w:val="09C80001"/>
    <w:rsid w:val="284C3B1C"/>
    <w:rsid w:val="34B72990"/>
    <w:rsid w:val="3B550C32"/>
    <w:rsid w:val="5EC5205D"/>
    <w:rsid w:val="704D775A"/>
    <w:rsid w:val="73E8380C"/>
    <w:rsid w:val="778B786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4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5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42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3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5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7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88"/>
    <w:qFormat/>
    <w:uiPriority w:val="0"/>
    <w:pPr>
      <w:outlineLvl w:val="7"/>
    </w:pPr>
  </w:style>
  <w:style w:type="paragraph" w:styleId="10">
    <w:name w:val="heading 9"/>
    <w:basedOn w:val="9"/>
    <w:next w:val="1"/>
    <w:link w:val="90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6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98"/>
    <w:qFormat/>
    <w:uiPriority w:val="0"/>
  </w:style>
  <w:style w:type="paragraph" w:styleId="16">
    <w:name w:val="Body Text 3"/>
    <w:basedOn w:val="1"/>
    <w:link w:val="108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2"/>
    <w:qFormat/>
    <w:uiPriority w:val="0"/>
    <w:pPr>
      <w:spacing w:after="120"/>
    </w:pPr>
  </w:style>
  <w:style w:type="paragraph" w:styleId="18">
    <w:name w:val="Body Text Indent"/>
    <w:basedOn w:val="1"/>
    <w:link w:val="92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3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qFormat/>
    <w:uiPriority w:val="0"/>
    <w:pPr>
      <w:ind w:left="100" w:leftChars="2500"/>
    </w:pPr>
  </w:style>
  <w:style w:type="paragraph" w:styleId="24">
    <w:name w:val="Body Text Indent 2"/>
    <w:basedOn w:val="1"/>
    <w:link w:val="89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7"/>
    <w:qFormat/>
    <w:uiPriority w:val="0"/>
    <w:rPr>
      <w:sz w:val="18"/>
      <w:szCs w:val="18"/>
    </w:rPr>
  </w:style>
  <w:style w:type="paragraph" w:styleId="26">
    <w:name w:val="footer"/>
    <w:basedOn w:val="1"/>
    <w:link w:val="9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4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uiPriority w:val="0"/>
    <w:pPr>
      <w:spacing w:after="120" w:line="480" w:lineRule="auto"/>
    </w:pPr>
  </w:style>
  <w:style w:type="paragraph" w:styleId="37">
    <w:name w:val="Normal (Web)"/>
    <w:basedOn w:val="1"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6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1"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uiPriority w:val="0"/>
  </w:style>
  <w:style w:type="character" w:styleId="44">
    <w:name w:val="FollowedHyperlink"/>
    <w:uiPriority w:val="0"/>
    <w:rPr>
      <w:color w:val="800080"/>
      <w:u w:val="single"/>
    </w:rPr>
  </w:style>
  <w:style w:type="character" w:styleId="45">
    <w:name w:val="Hyperlink"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paragraph" w:customStyle="1" w:styleId="47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8">
    <w:name w:val="正文无缩进"/>
    <w:basedOn w:val="1"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49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0">
    <w:name w:val="Char Char1"/>
    <w:basedOn w:val="1"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1">
    <w:name w:val="4"/>
    <w:basedOn w:val="1"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2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3">
    <w:name w:val="Char"/>
    <w:basedOn w:val="1"/>
    <w:uiPriority w:val="0"/>
    <w:pPr>
      <w:tabs>
        <w:tab w:val="left" w:pos="360"/>
      </w:tabs>
    </w:pPr>
    <w:rPr>
      <w:sz w:val="24"/>
    </w:rPr>
  </w:style>
  <w:style w:type="paragraph" w:customStyle="1" w:styleId="54">
    <w:name w:val="Char Char3 Char Char Char Char"/>
    <w:basedOn w:val="1"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5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7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8">
    <w:name w:val="样式1"/>
    <w:basedOn w:val="1"/>
    <w:link w:val="127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59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0">
    <w:name w:val="Char Char1 Char Char Char Char Char Char"/>
    <w:basedOn w:val="1"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1">
    <w:name w:val="样式4 Char"/>
    <w:basedOn w:val="1"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2">
    <w:name w:val="列出段落1"/>
    <w:basedOn w:val="1"/>
    <w:qFormat/>
    <w:uiPriority w:val="34"/>
  </w:style>
  <w:style w:type="paragraph" w:customStyle="1" w:styleId="63">
    <w:name w:val="paragraphindent"/>
    <w:basedOn w:val="1"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4">
    <w:name w:val="FA正文"/>
    <w:basedOn w:val="1"/>
    <w:link w:val="107"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5">
    <w:name w:val="14_black"/>
    <w:basedOn w:val="1"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6">
    <w:name w:val="È±Ê¡ÎÄ±¾"/>
    <w:basedOn w:val="1"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7">
    <w:name w:val="样式2"/>
    <w:basedOn w:val="1"/>
    <w:link w:val="11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8">
    <w:name w:val="样式3"/>
    <w:basedOn w:val="27"/>
    <w:link w:val="114"/>
    <w:qFormat/>
    <w:uiPriority w:val="0"/>
    <w:pPr>
      <w:ind w:firstLine="360"/>
    </w:pPr>
  </w:style>
  <w:style w:type="paragraph" w:customStyle="1" w:styleId="69">
    <w:name w:val="样式4"/>
    <w:basedOn w:val="68"/>
    <w:link w:val="115"/>
    <w:qFormat/>
    <w:uiPriority w:val="0"/>
  </w:style>
  <w:style w:type="paragraph" w:customStyle="1" w:styleId="70">
    <w:name w:val="样式5"/>
    <w:basedOn w:val="27"/>
    <w:link w:val="116"/>
    <w:qFormat/>
    <w:uiPriority w:val="0"/>
    <w:pPr>
      <w:ind w:firstLine="360"/>
    </w:pPr>
  </w:style>
  <w:style w:type="paragraph" w:customStyle="1" w:styleId="71">
    <w:name w:val="样式6"/>
    <w:basedOn w:val="27"/>
    <w:link w:val="117"/>
    <w:qFormat/>
    <w:uiPriority w:val="0"/>
    <w:pPr>
      <w:ind w:firstLine="360"/>
    </w:pPr>
  </w:style>
  <w:style w:type="paragraph" w:customStyle="1" w:styleId="72">
    <w:name w:val="样式7"/>
    <w:basedOn w:val="4"/>
    <w:link w:val="118"/>
    <w:qFormat/>
    <w:uiPriority w:val="0"/>
  </w:style>
  <w:style w:type="paragraph" w:customStyle="1" w:styleId="73">
    <w:name w:val="样式8"/>
    <w:basedOn w:val="26"/>
    <w:link w:val="119"/>
    <w:qFormat/>
    <w:uiPriority w:val="0"/>
    <w:pPr>
      <w:ind w:firstLine="0" w:firstLineChars="0"/>
      <w:jc w:val="left"/>
    </w:pPr>
  </w:style>
  <w:style w:type="paragraph" w:customStyle="1" w:styleId="74">
    <w:name w:val="样式9"/>
    <w:basedOn w:val="73"/>
    <w:link w:val="120"/>
    <w:qFormat/>
    <w:uiPriority w:val="0"/>
    <w:pPr>
      <w:jc w:val="center"/>
    </w:pPr>
  </w:style>
  <w:style w:type="paragraph" w:customStyle="1" w:styleId="75">
    <w:name w:val="样式10"/>
    <w:basedOn w:val="74"/>
    <w:link w:val="121"/>
    <w:uiPriority w:val="0"/>
    <w:pPr>
      <w:pBdr>
        <w:top w:val="single" w:color="76923C" w:sz="24" w:space="1"/>
      </w:pBdr>
    </w:pPr>
  </w:style>
  <w:style w:type="paragraph" w:customStyle="1" w:styleId="76">
    <w:name w:val="样式11"/>
    <w:basedOn w:val="75"/>
    <w:link w:val="122"/>
    <w:uiPriority w:val="0"/>
    <w:pPr>
      <w:pBdr>
        <w:top w:val="none" w:color="auto" w:sz="0" w:space="0"/>
      </w:pBdr>
    </w:pPr>
  </w:style>
  <w:style w:type="paragraph" w:customStyle="1" w:styleId="77">
    <w:name w:val="样式12"/>
    <w:basedOn w:val="76"/>
    <w:link w:val="123"/>
    <w:uiPriority w:val="0"/>
  </w:style>
  <w:style w:type="paragraph" w:customStyle="1" w:styleId="78">
    <w:name w:val="样式13"/>
    <w:basedOn w:val="72"/>
    <w:link w:val="124"/>
    <w:qFormat/>
    <w:uiPriority w:val="0"/>
  </w:style>
  <w:style w:type="paragraph" w:customStyle="1" w:styleId="79">
    <w:name w:val="2"/>
    <w:basedOn w:val="1"/>
    <w:link w:val="12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0">
    <w:name w:val="1"/>
    <w:basedOn w:val="1"/>
    <w:link w:val="126"/>
    <w:qFormat/>
    <w:uiPriority w:val="0"/>
    <w:pPr>
      <w:ind w:firstLine="0" w:firstLineChars="0"/>
    </w:pPr>
  </w:style>
  <w:style w:type="paragraph" w:customStyle="1" w:styleId="81">
    <w:name w:val="飞越型"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3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84">
    <w:name w:val="页眉 Char"/>
    <w:link w:val="27"/>
    <w:uiPriority w:val="99"/>
    <w:rPr>
      <w:kern w:val="2"/>
      <w:sz w:val="18"/>
      <w:szCs w:val="18"/>
    </w:rPr>
  </w:style>
  <w:style w:type="character" w:customStyle="1" w:styleId="85">
    <w:name w:val="标题 6 Char"/>
    <w:link w:val="7"/>
    <w:uiPriority w:val="0"/>
    <w:rPr>
      <w:b/>
      <w:bCs/>
      <w:kern w:val="2"/>
      <w:sz w:val="30"/>
      <w:szCs w:val="18"/>
    </w:rPr>
  </w:style>
  <w:style w:type="character" w:customStyle="1" w:styleId="86">
    <w:name w:val="标题 Char"/>
    <w:link w:val="38"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7">
    <w:name w:val="标题 7 Char"/>
    <w:link w:val="8"/>
    <w:uiPriority w:val="0"/>
    <w:rPr>
      <w:b/>
      <w:bCs/>
      <w:kern w:val="2"/>
      <w:sz w:val="30"/>
      <w:szCs w:val="18"/>
    </w:rPr>
  </w:style>
  <w:style w:type="character" w:customStyle="1" w:styleId="88">
    <w:name w:val="标题 8 Char"/>
    <w:link w:val="9"/>
    <w:uiPriority w:val="0"/>
    <w:rPr>
      <w:b/>
      <w:bCs/>
      <w:kern w:val="2"/>
      <w:sz w:val="30"/>
      <w:szCs w:val="18"/>
    </w:rPr>
  </w:style>
  <w:style w:type="character" w:customStyle="1" w:styleId="89">
    <w:name w:val="正文文本缩进 2 Char"/>
    <w:link w:val="24"/>
    <w:uiPriority w:val="0"/>
    <w:rPr>
      <w:kern w:val="2"/>
      <w:sz w:val="21"/>
      <w:szCs w:val="24"/>
    </w:rPr>
  </w:style>
  <w:style w:type="character" w:customStyle="1" w:styleId="90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1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2">
    <w:name w:val="正文文本缩进 Char"/>
    <w:link w:val="18"/>
    <w:uiPriority w:val="0"/>
    <w:rPr>
      <w:kern w:val="2"/>
      <w:sz w:val="21"/>
      <w:szCs w:val="24"/>
    </w:rPr>
  </w:style>
  <w:style w:type="character" w:customStyle="1" w:styleId="93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4">
    <w:name w:val="标题 2 Char"/>
    <w:link w:val="3"/>
    <w:uiPriority w:val="0"/>
    <w:rPr>
      <w:b/>
      <w:bCs/>
      <w:kern w:val="2"/>
      <w:sz w:val="30"/>
      <w:szCs w:val="32"/>
    </w:rPr>
  </w:style>
  <w:style w:type="character" w:customStyle="1" w:styleId="95">
    <w:name w:val="标题 3 Char"/>
    <w:link w:val="4"/>
    <w:uiPriority w:val="0"/>
    <w:rPr>
      <w:b/>
      <w:bCs/>
      <w:kern w:val="2"/>
      <w:sz w:val="28"/>
      <w:szCs w:val="18"/>
    </w:rPr>
  </w:style>
  <w:style w:type="character" w:customStyle="1" w:styleId="96">
    <w:name w:val="页脚 Char"/>
    <w:link w:val="26"/>
    <w:uiPriority w:val="99"/>
    <w:rPr>
      <w:kern w:val="2"/>
      <w:sz w:val="18"/>
      <w:szCs w:val="18"/>
    </w:rPr>
  </w:style>
  <w:style w:type="character" w:customStyle="1" w:styleId="97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98">
    <w:name w:val="批注文字 Char"/>
    <w:link w:val="15"/>
    <w:uiPriority w:val="0"/>
    <w:rPr>
      <w:kern w:val="2"/>
      <w:sz w:val="21"/>
      <w:szCs w:val="24"/>
    </w:rPr>
  </w:style>
  <w:style w:type="character" w:customStyle="1" w:styleId="99">
    <w:name w:val="14_black1"/>
    <w:uiPriority w:val="0"/>
    <w:rPr>
      <w:color w:val="000000"/>
      <w:sz w:val="23"/>
      <w:szCs w:val="23"/>
    </w:rPr>
  </w:style>
  <w:style w:type="character" w:customStyle="1" w:styleId="100">
    <w:name w:val="标题 1 Char"/>
    <w:link w:val="2"/>
    <w:uiPriority w:val="0"/>
    <w:rPr>
      <w:b/>
      <w:bCs/>
      <w:kern w:val="44"/>
      <w:sz w:val="32"/>
      <w:szCs w:val="28"/>
    </w:rPr>
  </w:style>
  <w:style w:type="character" w:customStyle="1" w:styleId="101">
    <w:name w:val="正文首行缩进 Char"/>
    <w:link w:val="39"/>
    <w:uiPriority w:val="0"/>
    <w:rPr>
      <w:kern w:val="2"/>
      <w:sz w:val="21"/>
      <w:szCs w:val="24"/>
    </w:rPr>
  </w:style>
  <w:style w:type="character" w:customStyle="1" w:styleId="102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03">
    <w:name w:val="f141"/>
    <w:qFormat/>
    <w:uiPriority w:val="0"/>
    <w:rPr>
      <w:sz w:val="21"/>
      <w:szCs w:val="21"/>
    </w:rPr>
  </w:style>
  <w:style w:type="character" w:customStyle="1" w:styleId="104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5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6">
    <w:name w:val="文档结构图 Char"/>
    <w:link w:val="14"/>
    <w:uiPriority w:val="0"/>
    <w:rPr>
      <w:rFonts w:ascii="宋体"/>
      <w:kern w:val="2"/>
      <w:sz w:val="18"/>
      <w:szCs w:val="18"/>
    </w:rPr>
  </w:style>
  <w:style w:type="character" w:customStyle="1" w:styleId="107">
    <w:name w:val="FA正文 Char"/>
    <w:link w:val="64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8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09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10">
    <w:name w:val="Indent Normal Char"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1">
    <w:name w:val="日期 Char"/>
    <w:link w:val="23"/>
    <w:uiPriority w:val="0"/>
    <w:rPr>
      <w:kern w:val="2"/>
      <w:sz w:val="21"/>
      <w:szCs w:val="24"/>
    </w:rPr>
  </w:style>
  <w:style w:type="character" w:customStyle="1" w:styleId="112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link w:val="67"/>
    <w:qFormat/>
    <w:uiPriority w:val="0"/>
    <w:rPr>
      <w:b/>
      <w:kern w:val="2"/>
      <w:sz w:val="30"/>
      <w:szCs w:val="24"/>
    </w:rPr>
  </w:style>
  <w:style w:type="character" w:customStyle="1" w:styleId="114">
    <w:name w:val="样式3 Char"/>
    <w:link w:val="68"/>
    <w:uiPriority w:val="0"/>
    <w:rPr>
      <w:kern w:val="2"/>
      <w:sz w:val="18"/>
      <w:szCs w:val="18"/>
    </w:rPr>
  </w:style>
  <w:style w:type="character" w:customStyle="1" w:styleId="115">
    <w:name w:val="样式4 Char1"/>
    <w:link w:val="69"/>
    <w:qFormat/>
    <w:uiPriority w:val="0"/>
    <w:rPr>
      <w:kern w:val="2"/>
      <w:sz w:val="18"/>
      <w:szCs w:val="18"/>
    </w:rPr>
  </w:style>
  <w:style w:type="character" w:customStyle="1" w:styleId="116">
    <w:name w:val="样式5 Char"/>
    <w:link w:val="70"/>
    <w:qFormat/>
    <w:uiPriority w:val="0"/>
    <w:rPr>
      <w:kern w:val="2"/>
      <w:sz w:val="18"/>
      <w:szCs w:val="18"/>
    </w:rPr>
  </w:style>
  <w:style w:type="character" w:customStyle="1" w:styleId="117">
    <w:name w:val="样式6 Char"/>
    <w:link w:val="71"/>
    <w:qFormat/>
    <w:uiPriority w:val="0"/>
    <w:rPr>
      <w:kern w:val="2"/>
      <w:sz w:val="18"/>
      <w:szCs w:val="18"/>
    </w:rPr>
  </w:style>
  <w:style w:type="character" w:customStyle="1" w:styleId="118">
    <w:name w:val="样式7 Char"/>
    <w:link w:val="72"/>
    <w:uiPriority w:val="0"/>
    <w:rPr>
      <w:b/>
      <w:bCs/>
      <w:kern w:val="2"/>
      <w:sz w:val="28"/>
      <w:szCs w:val="18"/>
    </w:rPr>
  </w:style>
  <w:style w:type="character" w:customStyle="1" w:styleId="119">
    <w:name w:val="样式8 Char"/>
    <w:link w:val="73"/>
    <w:qFormat/>
    <w:uiPriority w:val="0"/>
    <w:rPr>
      <w:kern w:val="2"/>
      <w:sz w:val="18"/>
      <w:szCs w:val="18"/>
    </w:rPr>
  </w:style>
  <w:style w:type="character" w:customStyle="1" w:styleId="120">
    <w:name w:val="样式9 Char"/>
    <w:link w:val="74"/>
    <w:qFormat/>
    <w:uiPriority w:val="0"/>
    <w:rPr>
      <w:kern w:val="2"/>
      <w:sz w:val="18"/>
      <w:szCs w:val="18"/>
    </w:rPr>
  </w:style>
  <w:style w:type="character" w:customStyle="1" w:styleId="121">
    <w:name w:val="样式10 Char"/>
    <w:link w:val="75"/>
    <w:uiPriority w:val="0"/>
    <w:rPr>
      <w:kern w:val="2"/>
      <w:sz w:val="18"/>
      <w:szCs w:val="18"/>
    </w:rPr>
  </w:style>
  <w:style w:type="character" w:customStyle="1" w:styleId="122">
    <w:name w:val="样式11 Char"/>
    <w:link w:val="76"/>
    <w:qFormat/>
    <w:uiPriority w:val="0"/>
    <w:rPr>
      <w:kern w:val="2"/>
      <w:sz w:val="18"/>
      <w:szCs w:val="18"/>
    </w:rPr>
  </w:style>
  <w:style w:type="character" w:customStyle="1" w:styleId="123">
    <w:name w:val="样式12 Char"/>
    <w:link w:val="77"/>
    <w:uiPriority w:val="0"/>
    <w:rPr>
      <w:kern w:val="2"/>
      <w:sz w:val="18"/>
      <w:szCs w:val="18"/>
    </w:rPr>
  </w:style>
  <w:style w:type="character" w:customStyle="1" w:styleId="124">
    <w:name w:val="样式13 Char"/>
    <w:link w:val="78"/>
    <w:qFormat/>
    <w:uiPriority w:val="0"/>
    <w:rPr>
      <w:b/>
      <w:bCs/>
      <w:kern w:val="2"/>
      <w:sz w:val="28"/>
      <w:szCs w:val="18"/>
    </w:rPr>
  </w:style>
  <w:style w:type="character" w:customStyle="1" w:styleId="125">
    <w:name w:val="2 Char"/>
    <w:link w:val="79"/>
    <w:qFormat/>
    <w:uiPriority w:val="0"/>
    <w:rPr>
      <w:spacing w:val="4"/>
      <w:kern w:val="2"/>
      <w:sz w:val="21"/>
      <w:szCs w:val="24"/>
    </w:rPr>
  </w:style>
  <w:style w:type="character" w:customStyle="1" w:styleId="126">
    <w:name w:val="1 Char"/>
    <w:link w:val="80"/>
    <w:qFormat/>
    <w:uiPriority w:val="0"/>
    <w:rPr>
      <w:kern w:val="2"/>
      <w:sz w:val="21"/>
      <w:szCs w:val="24"/>
    </w:rPr>
  </w:style>
  <w:style w:type="character" w:customStyle="1" w:styleId="127">
    <w:name w:val="样式1 Char"/>
    <w:link w:val="58"/>
    <w:uiPriority w:val="0"/>
    <w:rPr>
      <w:kern w:val="2"/>
      <w:sz w:val="24"/>
      <w:szCs w:val="24"/>
    </w:rPr>
  </w:style>
  <w:style w:type="paragraph" w:styleId="12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 </Company>
  <Pages>11</Pages>
  <Words>51</Words>
  <Characters>54</Characters>
  <Lines>35</Lines>
  <Paragraphs>9</Paragraphs>
  <TotalTime>3</TotalTime>
  <ScaleCrop>false</ScaleCrop>
  <LinksUpToDate>false</LinksUpToDate>
  <CharactersWithSpaces>54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2010-01-03T19:48:00Z</dcterms:created>
  <dc:creator>yuanxun</dc:creator>
  <cp:lastModifiedBy>sjianan</cp:lastModifiedBy>
  <dcterms:modified xsi:type="dcterms:W3CDTF">2025-12-09T11:59:17Z</dcterms:modified>
  <dc:title>_x0001_</dc:title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eyJoZGlkIjoiNDZkMDBiODhiN2ZkMmU0ZWRmMDMzMzg3NmQ0MTViMmQiLCJ1c2VySWQiOiI0NDI4Njk4MTEifQ==</vt:lpwstr>
  </property>
  <property fmtid="{D5CDD505-2E9C-101B-9397-08002B2CF9AE}" pid="4" name="ICV">
    <vt:lpwstr>B829EFF8A5D84DF6A09442BA378E4C84_12</vt:lpwstr>
  </property>
</Properties>
</file>