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936" w:beforeLines="300"/>
        <w:ind w:firstLine="0" w:firstLineChars="0"/>
        <w:jc w:val="center"/>
        <w:rPr>
          <w:rFonts w:hint="eastAsia" w:ascii="华文仿宋" w:hAnsi="华文仿宋" w:eastAsia="华文仿宋" w:cs="华文仿宋"/>
          <w:b/>
          <w:sz w:val="52"/>
          <w:szCs w:val="52"/>
          <w:lang w:val="en-US" w:eastAsia="zh-CN"/>
        </w:rPr>
      </w:pPr>
      <w:r>
        <w:rPr>
          <w:rFonts w:hint="eastAsia" w:ascii="华文仿宋" w:hAnsi="华文仿宋" w:eastAsia="华文仿宋" w:cs="华文仿宋"/>
          <w:b/>
          <w:sz w:val="52"/>
          <w:szCs w:val="52"/>
          <w:lang w:val="en-US" w:eastAsia="zh-CN"/>
        </w:rPr>
        <w:t>济南公共资源交易电子平台</w:t>
      </w:r>
    </w:p>
    <w:p>
      <w:pPr>
        <w:spacing w:before="936" w:beforeLines="300"/>
        <w:ind w:firstLine="0" w:firstLineChars="0"/>
        <w:jc w:val="center"/>
        <w:rPr>
          <w:rFonts w:hint="eastAsia" w:ascii="华文仿宋" w:hAnsi="华文仿宋" w:eastAsia="华文仿宋" w:cs="华文仿宋"/>
          <w:b/>
          <w:sz w:val="52"/>
          <w:szCs w:val="52"/>
          <w:lang w:eastAsia="zh-CN"/>
        </w:rPr>
      </w:pPr>
      <w:r>
        <w:rPr>
          <w:rFonts w:hint="eastAsia" w:ascii="华文仿宋" w:hAnsi="华文仿宋" w:eastAsia="华文仿宋" w:cs="华文仿宋"/>
          <w:b/>
          <w:sz w:val="52"/>
          <w:szCs w:val="52"/>
          <w:lang w:val="en-US" w:eastAsia="zh-CN"/>
        </w:rPr>
        <w:t>通用平台</w:t>
      </w:r>
      <w:r>
        <w:rPr>
          <w:rFonts w:hint="eastAsia" w:ascii="华文仿宋" w:hAnsi="华文仿宋" w:eastAsia="华文仿宋" w:cs="华文仿宋"/>
          <w:b/>
          <w:sz w:val="52"/>
          <w:szCs w:val="52"/>
          <w:lang w:eastAsia="zh-CN"/>
        </w:rPr>
        <w:t>操作手册</w:t>
      </w:r>
    </w:p>
    <w:p>
      <w:pPr>
        <w:keepNext w:val="0"/>
        <w:keepLines w:val="0"/>
        <w:pageBreakBefore w:val="0"/>
        <w:widowControl w:val="0"/>
        <w:kinsoku/>
        <w:wordWrap/>
        <w:overflowPunct/>
        <w:topLinePunct w:val="0"/>
        <w:autoSpaceDE/>
        <w:autoSpaceDN/>
        <w:bidi w:val="0"/>
        <w:adjustRightInd/>
        <w:snapToGrid/>
        <w:spacing w:before="7801" w:beforeLines="2500"/>
        <w:ind w:firstLine="0" w:firstLineChars="0"/>
        <w:jc w:val="center"/>
        <w:textAlignment w:val="auto"/>
        <w:rPr>
          <w:rFonts w:hint="eastAsia" w:ascii="华文仿宋" w:hAnsi="华文仿宋" w:eastAsia="华文仿宋" w:cs="华文仿宋"/>
          <w:b/>
          <w:sz w:val="40"/>
          <w:szCs w:val="40"/>
          <w:lang w:val="en-US" w:eastAsia="zh-CN"/>
        </w:rPr>
      </w:pPr>
      <w:r>
        <w:rPr>
          <w:rFonts w:hint="eastAsia" w:ascii="华文仿宋" w:hAnsi="华文仿宋" w:eastAsia="华文仿宋" w:cs="华文仿宋"/>
          <w:b/>
          <w:sz w:val="40"/>
          <w:szCs w:val="40"/>
          <w:lang w:val="en-US" w:eastAsia="zh-CN"/>
        </w:rPr>
        <w:t>青岛福莱易通软件有限公司</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华文仿宋" w:hAnsi="华文仿宋" w:eastAsia="华文仿宋" w:cs="华文仿宋"/>
          <w:b/>
          <w:sz w:val="40"/>
          <w:szCs w:val="40"/>
        </w:rPr>
      </w:pPr>
      <w:r>
        <w:rPr>
          <w:rFonts w:hint="eastAsia" w:ascii="华文仿宋" w:hAnsi="华文仿宋" w:eastAsia="华文仿宋" w:cs="华文仿宋"/>
          <w:b/>
          <w:sz w:val="40"/>
          <w:szCs w:val="40"/>
        </w:rPr>
        <w:t>202</w:t>
      </w:r>
      <w:r>
        <w:rPr>
          <w:rFonts w:hint="eastAsia" w:ascii="华文仿宋" w:hAnsi="华文仿宋" w:eastAsia="华文仿宋" w:cs="华文仿宋"/>
          <w:b/>
          <w:sz w:val="40"/>
          <w:szCs w:val="40"/>
          <w:lang w:val="en-US" w:eastAsia="zh-CN"/>
        </w:rPr>
        <w:t>5</w:t>
      </w:r>
      <w:r>
        <w:rPr>
          <w:rFonts w:hint="eastAsia" w:ascii="华文仿宋" w:hAnsi="华文仿宋" w:eastAsia="华文仿宋" w:cs="华文仿宋"/>
          <w:b/>
          <w:sz w:val="40"/>
          <w:szCs w:val="40"/>
        </w:rPr>
        <w:t>年</w:t>
      </w:r>
      <w:r>
        <w:rPr>
          <w:rFonts w:hint="eastAsia" w:ascii="华文仿宋" w:hAnsi="华文仿宋" w:eastAsia="华文仿宋" w:cs="华文仿宋"/>
          <w:b/>
          <w:sz w:val="40"/>
          <w:szCs w:val="40"/>
          <w:lang w:val="en-US" w:eastAsia="zh-CN"/>
        </w:rPr>
        <w:t>11</w:t>
      </w:r>
      <w:r>
        <w:rPr>
          <w:rFonts w:hint="eastAsia" w:ascii="华文仿宋" w:hAnsi="华文仿宋" w:eastAsia="华文仿宋" w:cs="华文仿宋"/>
          <w:b/>
          <w:sz w:val="40"/>
          <w:szCs w:val="40"/>
        </w:rPr>
        <w:t>月</w:t>
      </w:r>
    </w:p>
    <w:p>
      <w:pPr>
        <w:rPr>
          <w:rFonts w:hint="eastAsia" w:ascii="华文仿宋" w:hAnsi="华文仿宋" w:eastAsia="华文仿宋" w:cs="华文仿宋"/>
        </w:rPr>
      </w:pPr>
    </w:p>
    <w:p>
      <w:pPr>
        <w:rPr>
          <w:rFonts w:hint="eastAsia" w:ascii="华文仿宋" w:hAnsi="华文仿宋" w:eastAsia="华文仿宋" w:cs="华文仿宋"/>
          <w:b/>
          <w:sz w:val="52"/>
          <w:szCs w:val="52"/>
        </w:rPr>
      </w:pPr>
      <w:r>
        <w:rPr>
          <w:rFonts w:hint="eastAsia" w:ascii="华文仿宋" w:hAnsi="华文仿宋" w:eastAsia="华文仿宋" w:cs="华文仿宋"/>
          <w:b/>
          <w:sz w:val="52"/>
          <w:szCs w:val="52"/>
        </w:rPr>
        <w:br w:type="page"/>
      </w:r>
    </w:p>
    <w:sdt>
      <w:sdtPr>
        <w:rPr>
          <w:rFonts w:hint="eastAsia" w:ascii="华文仿宋" w:hAnsi="华文仿宋" w:eastAsia="华文仿宋" w:cs="华文仿宋"/>
          <w:kern w:val="2"/>
          <w:sz w:val="44"/>
          <w:szCs w:val="52"/>
          <w:lang w:val="en-US" w:eastAsia="zh-CN" w:bidi="ar-SA"/>
          <w14:ligatures w14:val="standardContextual"/>
        </w:rPr>
        <w:id w:val="147466527"/>
        <w15:color w:val="DBDBDB"/>
        <w:docPartObj>
          <w:docPartGallery w:val="Table of Contents"/>
          <w:docPartUnique/>
        </w:docPartObj>
      </w:sdtPr>
      <w:sdtEndPr>
        <w:rPr>
          <w:rFonts w:hint="eastAsia" w:ascii="华文仿宋" w:hAnsi="华文仿宋" w:eastAsia="华文仿宋" w:cs="华文仿宋"/>
          <w:kern w:val="2"/>
          <w:sz w:val="44"/>
          <w:szCs w:val="52"/>
          <w:lang w:val="en-US" w:eastAsia="zh-CN" w:bidi="ar-SA"/>
          <w14:ligatures w14:val="standardContextual"/>
        </w:rPr>
      </w:sdtEndPr>
      <w:sdtContent>
        <w:p>
          <w:pPr>
            <w:spacing w:before="0" w:beforeLines="0" w:after="0" w:afterLines="0" w:line="240" w:lineRule="auto"/>
            <w:ind w:left="0" w:leftChars="0" w:right="0" w:rightChars="0" w:firstLine="0" w:firstLineChars="0"/>
            <w:jc w:val="center"/>
            <w:rPr>
              <w:rFonts w:hint="eastAsia" w:ascii="华文仿宋" w:hAnsi="华文仿宋" w:eastAsia="华文仿宋" w:cs="华文仿宋"/>
              <w:sz w:val="44"/>
              <w:szCs w:val="52"/>
            </w:rPr>
          </w:pPr>
          <w:r>
            <w:rPr>
              <w:rFonts w:hint="eastAsia" w:ascii="华文仿宋" w:hAnsi="华文仿宋" w:eastAsia="华文仿宋" w:cs="华文仿宋"/>
              <w:sz w:val="44"/>
              <w:szCs w:val="52"/>
            </w:rPr>
            <w:t>目录</w:t>
          </w:r>
        </w:p>
        <w:p>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TOC \o "1-3" \h \u </w:instrText>
          </w:r>
          <w:r>
            <w:rPr>
              <w:rFonts w:hint="eastAsia" w:ascii="华文仿宋" w:hAnsi="华文仿宋" w:eastAsia="华文仿宋" w:cs="华文仿宋"/>
            </w:rPr>
            <w:fldChar w:fldCharType="separate"/>
          </w: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_Toc22688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一、 信创浏览器配置</w:t>
          </w:r>
          <w:r>
            <w:tab/>
          </w:r>
          <w:r>
            <w:fldChar w:fldCharType="begin"/>
          </w:r>
          <w:r>
            <w:instrText xml:space="preserve"> PAGEREF _Toc22688 \h </w:instrText>
          </w:r>
          <w:r>
            <w:fldChar w:fldCharType="separate"/>
          </w:r>
          <w:r>
            <w:t>4</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_Toc18540 </w:instrText>
          </w:r>
          <w:r>
            <w:rPr>
              <w:rFonts w:hint="eastAsia" w:ascii="华文仿宋" w:hAnsi="华文仿宋" w:eastAsia="华文仿宋" w:cs="华文仿宋"/>
            </w:rPr>
            <w:fldChar w:fldCharType="separate"/>
          </w:r>
          <w:r>
            <w:rPr>
              <w:rFonts w:hint="eastAsia" w:ascii="宋体" w:hAnsi="宋体" w:eastAsia="宋体" w:cs="宋体"/>
            </w:rPr>
            <w:t xml:space="preserve">1.1 </w:t>
          </w:r>
          <w:r>
            <w:rPr>
              <w:rFonts w:hint="eastAsia" w:ascii="华文仿宋" w:hAnsi="华文仿宋" w:eastAsia="华文仿宋" w:cs="华文仿宋"/>
              <w:lang w:val="en-US" w:eastAsia="zh-CN"/>
            </w:rPr>
            <w:t>浏览器要求</w:t>
          </w:r>
          <w:r>
            <w:tab/>
          </w:r>
          <w:r>
            <w:fldChar w:fldCharType="begin"/>
          </w:r>
          <w:r>
            <w:instrText xml:space="preserve"> PAGEREF _Toc18540 \h </w:instrText>
          </w:r>
          <w:r>
            <w:fldChar w:fldCharType="separate"/>
          </w:r>
          <w:r>
            <w:t>4</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_Toc29024 </w:instrText>
          </w:r>
          <w:r>
            <w:rPr>
              <w:rFonts w:hint="eastAsia" w:ascii="华文仿宋" w:hAnsi="华文仿宋" w:eastAsia="华文仿宋" w:cs="华文仿宋"/>
            </w:rPr>
            <w:fldChar w:fldCharType="separate"/>
          </w:r>
          <w:r>
            <w:rPr>
              <w:rFonts w:hint="eastAsia" w:ascii="宋体" w:hAnsi="宋体" w:eastAsia="宋体" w:cs="宋体"/>
              <w:lang w:val="en-US" w:eastAsia="zh-CN"/>
            </w:rPr>
            <w:t xml:space="preserve">1.2 </w:t>
          </w:r>
          <w:r>
            <w:rPr>
              <w:rFonts w:hint="eastAsia" w:ascii="华文仿宋" w:hAnsi="华文仿宋" w:eastAsia="华文仿宋" w:cs="华文仿宋"/>
              <w:lang w:val="en-US" w:eastAsia="zh-CN"/>
            </w:rPr>
            <w:t>需安装工具</w:t>
          </w:r>
          <w:r>
            <w:tab/>
          </w:r>
          <w:r>
            <w:fldChar w:fldCharType="begin"/>
          </w:r>
          <w:r>
            <w:instrText xml:space="preserve"> PAGEREF _Toc29024 \h </w:instrText>
          </w:r>
          <w:r>
            <w:fldChar w:fldCharType="separate"/>
          </w:r>
          <w:r>
            <w:t>4</w:t>
          </w:r>
          <w:r>
            <w:fldChar w:fldCharType="end"/>
          </w:r>
          <w:r>
            <w:rPr>
              <w:rFonts w:hint="eastAsia" w:ascii="华文仿宋" w:hAnsi="华文仿宋" w:eastAsia="华文仿宋" w:cs="华文仿宋"/>
            </w:rPr>
            <w:fldChar w:fldCharType="end"/>
          </w:r>
        </w:p>
        <w:p>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_Toc28070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二、 企业登录信创交易平台</w:t>
          </w:r>
          <w:r>
            <w:tab/>
          </w:r>
          <w:r>
            <w:fldChar w:fldCharType="begin"/>
          </w:r>
          <w:r>
            <w:instrText xml:space="preserve"> PAGEREF _Toc28070 \h </w:instrText>
          </w:r>
          <w:r>
            <w:fldChar w:fldCharType="separate"/>
          </w:r>
          <w:r>
            <w:t>4</w:t>
          </w:r>
          <w:r>
            <w:fldChar w:fldCharType="end"/>
          </w:r>
          <w:r>
            <w:rPr>
              <w:rFonts w:hint="eastAsia" w:ascii="华文仿宋" w:hAnsi="华文仿宋" w:eastAsia="华文仿宋" w:cs="华文仿宋"/>
            </w:rPr>
            <w:fldChar w:fldCharType="end"/>
          </w:r>
        </w:p>
        <w:p>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_Toc13025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三、 新项目登记</w:t>
          </w:r>
          <w:r>
            <w:tab/>
          </w:r>
          <w:r>
            <w:fldChar w:fldCharType="begin"/>
          </w:r>
          <w:r>
            <w:instrText xml:space="preserve"> PAGEREF _Toc13025 \h </w:instrText>
          </w:r>
          <w:r>
            <w:fldChar w:fldCharType="separate"/>
          </w:r>
          <w:r>
            <w:t>5</w:t>
          </w:r>
          <w:r>
            <w:fldChar w:fldCharType="end"/>
          </w:r>
          <w:r>
            <w:rPr>
              <w:rFonts w:hint="eastAsia" w:ascii="华文仿宋" w:hAnsi="华文仿宋" w:eastAsia="华文仿宋" w:cs="华文仿宋"/>
            </w:rPr>
            <w:fldChar w:fldCharType="end"/>
          </w:r>
        </w:p>
        <w:p>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_Toc5818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四、 场地预约</w:t>
          </w:r>
          <w:r>
            <w:tab/>
          </w:r>
          <w:r>
            <w:fldChar w:fldCharType="begin"/>
          </w:r>
          <w:r>
            <w:instrText xml:space="preserve"> PAGEREF _Toc5818 \h </w:instrText>
          </w:r>
          <w:r>
            <w:fldChar w:fldCharType="separate"/>
          </w:r>
          <w:r>
            <w:t>8</w:t>
          </w:r>
          <w:r>
            <w:fldChar w:fldCharType="end"/>
          </w:r>
          <w:r>
            <w:rPr>
              <w:rFonts w:hint="eastAsia" w:ascii="华文仿宋" w:hAnsi="华文仿宋" w:eastAsia="华文仿宋" w:cs="华文仿宋"/>
            </w:rPr>
            <w:fldChar w:fldCharType="end"/>
          </w:r>
        </w:p>
        <w:p>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_Toc27521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 xml:space="preserve">五、 </w:t>
          </w:r>
          <w:r>
            <w:rPr>
              <w:rFonts w:hint="eastAsia" w:ascii="华文仿宋" w:hAnsi="华文仿宋" w:eastAsia="华文仿宋" w:cs="华文仿宋"/>
              <w:bCs/>
              <w:kern w:val="2"/>
              <w:szCs w:val="32"/>
              <w:highlight w:val="none"/>
              <w:lang w:val="en-US" w:eastAsia="zh-CN" w:bidi="ar-SA"/>
              <w14:ligatures w14:val="none"/>
            </w:rPr>
            <w:t>招标公告</w:t>
          </w:r>
          <w:r>
            <w:tab/>
          </w:r>
          <w:r>
            <w:fldChar w:fldCharType="begin"/>
          </w:r>
          <w:r>
            <w:instrText xml:space="preserve"> PAGEREF _Toc27521 \h </w:instrText>
          </w:r>
          <w:r>
            <w:fldChar w:fldCharType="separate"/>
          </w:r>
          <w:r>
            <w:t>9</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_Toc23398 </w:instrText>
          </w:r>
          <w:r>
            <w:rPr>
              <w:rFonts w:hint="eastAsia" w:ascii="华文仿宋" w:hAnsi="华文仿宋" w:eastAsia="华文仿宋" w:cs="华文仿宋"/>
            </w:rPr>
            <w:fldChar w:fldCharType="separate"/>
          </w:r>
          <w:r>
            <w:rPr>
              <w:rFonts w:hint="eastAsia" w:ascii="华文仿宋" w:hAnsi="华文仿宋" w:eastAsia="华文仿宋" w:cs="华文仿宋"/>
              <w:highlight w:val="none"/>
              <w:lang w:val="en-US" w:eastAsia="zh-CN"/>
            </w:rPr>
            <w:t>（一）</w:t>
          </w:r>
          <w:r>
            <w:rPr>
              <w:rFonts w:hint="eastAsia" w:ascii="华文仿宋" w:hAnsi="华文仿宋" w:eastAsia="华文仿宋" w:cs="华文仿宋"/>
              <w:highlight w:val="none"/>
            </w:rPr>
            <w:t>功能介绍</w:t>
          </w:r>
          <w:bookmarkStart w:id="54" w:name="_GoBack"/>
          <w:bookmarkEnd w:id="54"/>
          <w:r>
            <w:tab/>
          </w:r>
          <w:r>
            <w:fldChar w:fldCharType="begin"/>
          </w:r>
          <w:r>
            <w:instrText xml:space="preserve"> PAGEREF _Toc23398 \h </w:instrText>
          </w:r>
          <w:r>
            <w:fldChar w:fldCharType="separate"/>
          </w:r>
          <w:r>
            <w:t>9</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_Toc13179 </w:instrText>
          </w:r>
          <w:r>
            <w:rPr>
              <w:rFonts w:hint="eastAsia" w:ascii="华文仿宋" w:hAnsi="华文仿宋" w:eastAsia="华文仿宋" w:cs="华文仿宋"/>
            </w:rPr>
            <w:fldChar w:fldCharType="separate"/>
          </w:r>
          <w:r>
            <w:rPr>
              <w:rFonts w:hint="eastAsia" w:ascii="华文仿宋" w:hAnsi="华文仿宋" w:eastAsia="华文仿宋" w:cs="华文仿宋"/>
              <w:highlight w:val="none"/>
              <w:lang w:val="en-US" w:eastAsia="zh-CN"/>
            </w:rPr>
            <w:t>（二）具体操作</w:t>
          </w:r>
          <w:r>
            <w:tab/>
          </w:r>
          <w:r>
            <w:fldChar w:fldCharType="begin"/>
          </w:r>
          <w:r>
            <w:instrText xml:space="preserve"> PAGEREF _Toc13179 \h </w:instrText>
          </w:r>
          <w:r>
            <w:fldChar w:fldCharType="separate"/>
          </w:r>
          <w:r>
            <w:t>9</w:t>
          </w:r>
          <w:r>
            <w:fldChar w:fldCharType="end"/>
          </w:r>
          <w:r>
            <w:rPr>
              <w:rFonts w:hint="eastAsia" w:ascii="华文仿宋" w:hAnsi="华文仿宋" w:eastAsia="华文仿宋" w:cs="华文仿宋"/>
            </w:rPr>
            <w:fldChar w:fldCharType="end"/>
          </w:r>
        </w:p>
        <w:p>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_Toc7331 </w:instrText>
          </w:r>
          <w:r>
            <w:rPr>
              <w:rFonts w:hint="eastAsia" w:ascii="华文仿宋" w:hAnsi="华文仿宋" w:eastAsia="华文仿宋" w:cs="华文仿宋"/>
            </w:rPr>
            <w:fldChar w:fldCharType="separate"/>
          </w:r>
          <w:r>
            <w:rPr>
              <w:rFonts w:hint="eastAsia" w:ascii="华文仿宋" w:hAnsi="华文仿宋" w:eastAsia="华文仿宋" w:cs="华文仿宋"/>
            </w:rPr>
            <w:t xml:space="preserve">六、 </w:t>
          </w:r>
          <w:r>
            <w:rPr>
              <w:rFonts w:hint="eastAsia" w:ascii="华文仿宋" w:hAnsi="华文仿宋" w:eastAsia="华文仿宋" w:cs="华文仿宋"/>
              <w:bCs/>
              <w:kern w:val="2"/>
              <w:szCs w:val="32"/>
              <w:lang w:val="en-US" w:eastAsia="zh-CN" w:bidi="ar-SA"/>
              <w14:ligatures w14:val="none"/>
            </w:rPr>
            <w:t>编制招标文件</w:t>
          </w:r>
          <w:r>
            <w:tab/>
          </w:r>
          <w:r>
            <w:fldChar w:fldCharType="begin"/>
          </w:r>
          <w:r>
            <w:instrText xml:space="preserve"> PAGEREF _Toc7331 \h </w:instrText>
          </w:r>
          <w:r>
            <w:fldChar w:fldCharType="separate"/>
          </w:r>
          <w:r>
            <w:t>10</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_Toc4832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（一）基本信息：</w:t>
          </w:r>
          <w:r>
            <w:rPr>
              <w:rFonts w:hint="eastAsia" w:ascii="华文仿宋" w:hAnsi="华文仿宋" w:eastAsia="华文仿宋" w:cs="华文仿宋"/>
              <w:szCs w:val="32"/>
              <w:lang w:val="en-US" w:eastAsia="zh-CN"/>
            </w:rPr>
            <w:t>展示项目标段基本信息。</w:t>
          </w:r>
          <w:r>
            <w:tab/>
          </w:r>
          <w:r>
            <w:fldChar w:fldCharType="begin"/>
          </w:r>
          <w:r>
            <w:instrText xml:space="preserve"> PAGEREF _Toc4832 \h </w:instrText>
          </w:r>
          <w:r>
            <w:fldChar w:fldCharType="separate"/>
          </w:r>
          <w:r>
            <w:t>11</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_Toc18745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（二）开标一览表</w:t>
          </w:r>
          <w:r>
            <w:tab/>
          </w:r>
          <w:r>
            <w:fldChar w:fldCharType="begin"/>
          </w:r>
          <w:r>
            <w:instrText xml:space="preserve"> PAGEREF _Toc18745 \h </w:instrText>
          </w:r>
          <w:r>
            <w:fldChar w:fldCharType="separate"/>
          </w:r>
          <w:r>
            <w:t>11</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_Toc4209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（三）采购明细</w:t>
          </w:r>
          <w:r>
            <w:tab/>
          </w:r>
          <w:r>
            <w:fldChar w:fldCharType="begin"/>
          </w:r>
          <w:r>
            <w:instrText xml:space="preserve"> PAGEREF _Toc4209 \h </w:instrText>
          </w:r>
          <w:r>
            <w:fldChar w:fldCharType="separate"/>
          </w:r>
          <w:r>
            <w:t>13</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_Toc7086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（四）评标办法</w:t>
          </w:r>
          <w:r>
            <w:tab/>
          </w:r>
          <w:r>
            <w:fldChar w:fldCharType="begin"/>
          </w:r>
          <w:r>
            <w:instrText xml:space="preserve"> PAGEREF _Toc7086 \h </w:instrText>
          </w:r>
          <w:r>
            <w:fldChar w:fldCharType="separate"/>
          </w:r>
          <w:r>
            <w:t>14</w:t>
          </w:r>
          <w:r>
            <w:fldChar w:fldCharType="end"/>
          </w:r>
          <w:r>
            <w:rPr>
              <w:rFonts w:hint="eastAsia" w:ascii="华文仿宋" w:hAnsi="华文仿宋" w:eastAsia="华文仿宋" w:cs="华文仿宋"/>
            </w:rPr>
            <w:fldChar w:fldCharType="end"/>
          </w:r>
        </w:p>
        <w:p>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_Toc14397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第一步：选择评标办法参数设置模版</w:t>
          </w:r>
          <w:r>
            <w:tab/>
          </w:r>
          <w:r>
            <w:fldChar w:fldCharType="begin"/>
          </w:r>
          <w:r>
            <w:instrText xml:space="preserve"> PAGEREF _Toc14397 \h </w:instrText>
          </w:r>
          <w:r>
            <w:fldChar w:fldCharType="separate"/>
          </w:r>
          <w:r>
            <w:t>14</w:t>
          </w:r>
          <w:r>
            <w:fldChar w:fldCharType="end"/>
          </w:r>
          <w:r>
            <w:rPr>
              <w:rFonts w:hint="eastAsia" w:ascii="华文仿宋" w:hAnsi="华文仿宋" w:eastAsia="华文仿宋" w:cs="华文仿宋"/>
            </w:rPr>
            <w:fldChar w:fldCharType="end"/>
          </w:r>
        </w:p>
        <w:p>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_Toc17647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第二步：设置投标文件组成</w:t>
          </w:r>
          <w:r>
            <w:tab/>
          </w:r>
          <w:r>
            <w:fldChar w:fldCharType="begin"/>
          </w:r>
          <w:r>
            <w:instrText xml:space="preserve"> PAGEREF _Toc17647 \h </w:instrText>
          </w:r>
          <w:r>
            <w:fldChar w:fldCharType="separate"/>
          </w:r>
          <w:r>
            <w:t>14</w:t>
          </w:r>
          <w:r>
            <w:fldChar w:fldCharType="end"/>
          </w:r>
          <w:r>
            <w:rPr>
              <w:rFonts w:hint="eastAsia" w:ascii="华文仿宋" w:hAnsi="华文仿宋" w:eastAsia="华文仿宋" w:cs="华文仿宋"/>
            </w:rPr>
            <w:fldChar w:fldCharType="end"/>
          </w:r>
        </w:p>
        <w:p>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_Toc24618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第三步：评标办法参数设置</w:t>
          </w:r>
          <w:r>
            <w:tab/>
          </w:r>
          <w:r>
            <w:fldChar w:fldCharType="begin"/>
          </w:r>
          <w:r>
            <w:instrText xml:space="preserve"> PAGEREF _Toc24618 \h </w:instrText>
          </w:r>
          <w:r>
            <w:fldChar w:fldCharType="separate"/>
          </w:r>
          <w:r>
            <w:t>17</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_Toc20788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（五）编制采购书</w:t>
          </w:r>
          <w:r>
            <w:tab/>
          </w:r>
          <w:r>
            <w:fldChar w:fldCharType="begin"/>
          </w:r>
          <w:r>
            <w:instrText xml:space="preserve"> PAGEREF _Toc20788 \h </w:instrText>
          </w:r>
          <w:r>
            <w:fldChar w:fldCharType="separate"/>
          </w:r>
          <w:r>
            <w:t>18</w:t>
          </w:r>
          <w:r>
            <w:fldChar w:fldCharType="end"/>
          </w:r>
          <w:r>
            <w:rPr>
              <w:rFonts w:hint="eastAsia" w:ascii="华文仿宋" w:hAnsi="华文仿宋" w:eastAsia="华文仿宋" w:cs="华文仿宋"/>
            </w:rPr>
            <w:fldChar w:fldCharType="end"/>
          </w:r>
        </w:p>
        <w:p>
          <w:pPr>
            <w:pStyle w:val="9"/>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_Toc25046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其他文件</w:t>
          </w:r>
          <w:r>
            <w:tab/>
          </w:r>
          <w:r>
            <w:fldChar w:fldCharType="begin"/>
          </w:r>
          <w:r>
            <w:instrText xml:space="preserve"> PAGEREF _Toc25046 \h </w:instrText>
          </w:r>
          <w:r>
            <w:fldChar w:fldCharType="separate"/>
          </w:r>
          <w:r>
            <w:t>19</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_Toc16605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（六）文件汇总</w:t>
          </w:r>
          <w:r>
            <w:tab/>
          </w:r>
          <w:r>
            <w:fldChar w:fldCharType="begin"/>
          </w:r>
          <w:r>
            <w:instrText xml:space="preserve"> PAGEREF _Toc16605 \h </w:instrText>
          </w:r>
          <w:r>
            <w:fldChar w:fldCharType="separate"/>
          </w:r>
          <w:r>
            <w:t>19</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_Toc31860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（七）发布公告</w:t>
          </w:r>
          <w:r>
            <w:tab/>
          </w:r>
          <w:r>
            <w:fldChar w:fldCharType="begin"/>
          </w:r>
          <w:r>
            <w:instrText xml:space="preserve"> PAGEREF _Toc31860 \h </w:instrText>
          </w:r>
          <w:r>
            <w:fldChar w:fldCharType="separate"/>
          </w:r>
          <w:r>
            <w:t>19</w:t>
          </w:r>
          <w:r>
            <w:fldChar w:fldCharType="end"/>
          </w:r>
          <w:r>
            <w:rPr>
              <w:rFonts w:hint="eastAsia" w:ascii="华文仿宋" w:hAnsi="华文仿宋" w:eastAsia="华文仿宋" w:cs="华文仿宋"/>
            </w:rPr>
            <w:fldChar w:fldCharType="end"/>
          </w:r>
        </w:p>
        <w:p>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_Toc23901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十、变更公告</w:t>
          </w:r>
          <w:r>
            <w:tab/>
          </w:r>
          <w:r>
            <w:fldChar w:fldCharType="begin"/>
          </w:r>
          <w:r>
            <w:instrText xml:space="preserve"> PAGEREF _Toc23901 \h </w:instrText>
          </w:r>
          <w:r>
            <w:fldChar w:fldCharType="separate"/>
          </w:r>
          <w:r>
            <w:t>21</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_Toc26251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（一）功能介绍</w:t>
          </w:r>
          <w:r>
            <w:tab/>
          </w:r>
          <w:r>
            <w:fldChar w:fldCharType="begin"/>
          </w:r>
          <w:r>
            <w:instrText xml:space="preserve"> PAGEREF _Toc26251 \h </w:instrText>
          </w:r>
          <w:r>
            <w:fldChar w:fldCharType="separate"/>
          </w:r>
          <w:r>
            <w:t>21</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_Toc21109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（二）具体操作</w:t>
          </w:r>
          <w:r>
            <w:tab/>
          </w:r>
          <w:r>
            <w:fldChar w:fldCharType="begin"/>
          </w:r>
          <w:r>
            <w:instrText xml:space="preserve"> PAGEREF _Toc21109 \h </w:instrText>
          </w:r>
          <w:r>
            <w:fldChar w:fldCharType="separate"/>
          </w:r>
          <w:r>
            <w:t>22</w:t>
          </w:r>
          <w:r>
            <w:fldChar w:fldCharType="end"/>
          </w:r>
          <w:r>
            <w:rPr>
              <w:rFonts w:hint="eastAsia" w:ascii="华文仿宋" w:hAnsi="华文仿宋" w:eastAsia="华文仿宋" w:cs="华文仿宋"/>
            </w:rPr>
            <w:fldChar w:fldCharType="end"/>
          </w:r>
        </w:p>
        <w:p>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_Toc5832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十一、澄清公告</w:t>
          </w:r>
          <w:r>
            <w:tab/>
          </w:r>
          <w:r>
            <w:fldChar w:fldCharType="begin"/>
          </w:r>
          <w:r>
            <w:instrText xml:space="preserve"> PAGEREF _Toc5832 \h </w:instrText>
          </w:r>
          <w:r>
            <w:fldChar w:fldCharType="separate"/>
          </w:r>
          <w:r>
            <w:t>23</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_Toc5707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（一）功能介绍</w:t>
          </w:r>
          <w:r>
            <w:tab/>
          </w:r>
          <w:r>
            <w:fldChar w:fldCharType="begin"/>
          </w:r>
          <w:r>
            <w:instrText xml:space="preserve"> PAGEREF _Toc5707 \h </w:instrText>
          </w:r>
          <w:r>
            <w:fldChar w:fldCharType="separate"/>
          </w:r>
          <w:r>
            <w:t>23</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_Toc17472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（二）具体操作</w:t>
          </w:r>
          <w:r>
            <w:tab/>
          </w:r>
          <w:r>
            <w:fldChar w:fldCharType="begin"/>
          </w:r>
          <w:r>
            <w:instrText xml:space="preserve"> PAGEREF _Toc17472 \h </w:instrText>
          </w:r>
          <w:r>
            <w:fldChar w:fldCharType="separate"/>
          </w:r>
          <w:r>
            <w:t>23</w:t>
          </w:r>
          <w:r>
            <w:fldChar w:fldCharType="end"/>
          </w:r>
          <w:r>
            <w:rPr>
              <w:rFonts w:hint="eastAsia" w:ascii="华文仿宋" w:hAnsi="华文仿宋" w:eastAsia="华文仿宋" w:cs="华文仿宋"/>
            </w:rPr>
            <w:fldChar w:fldCharType="end"/>
          </w:r>
        </w:p>
        <w:p>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_Toc16154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十二、场地变更</w:t>
          </w:r>
          <w:r>
            <w:tab/>
          </w:r>
          <w:r>
            <w:fldChar w:fldCharType="begin"/>
          </w:r>
          <w:r>
            <w:instrText xml:space="preserve"> PAGEREF _Toc16154 \h </w:instrText>
          </w:r>
          <w:r>
            <w:fldChar w:fldCharType="separate"/>
          </w:r>
          <w:r>
            <w:t>24</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_Toc25040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（一）功能介绍</w:t>
          </w:r>
          <w:r>
            <w:tab/>
          </w:r>
          <w:r>
            <w:fldChar w:fldCharType="begin"/>
          </w:r>
          <w:r>
            <w:instrText xml:space="preserve"> PAGEREF _Toc25040 \h </w:instrText>
          </w:r>
          <w:r>
            <w:fldChar w:fldCharType="separate"/>
          </w:r>
          <w:r>
            <w:t>24</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_Toc7060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（二）具体操作</w:t>
          </w:r>
          <w:r>
            <w:tab/>
          </w:r>
          <w:r>
            <w:fldChar w:fldCharType="begin"/>
          </w:r>
          <w:r>
            <w:instrText xml:space="preserve"> PAGEREF _Toc7060 \h </w:instrText>
          </w:r>
          <w:r>
            <w:fldChar w:fldCharType="separate"/>
          </w:r>
          <w:r>
            <w:t>25</w:t>
          </w:r>
          <w:r>
            <w:fldChar w:fldCharType="end"/>
          </w:r>
          <w:r>
            <w:rPr>
              <w:rFonts w:hint="eastAsia" w:ascii="华文仿宋" w:hAnsi="华文仿宋" w:eastAsia="华文仿宋" w:cs="华文仿宋"/>
            </w:rPr>
            <w:fldChar w:fldCharType="end"/>
          </w:r>
        </w:p>
        <w:p>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_Toc13699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十三、终止/废标公告</w:t>
          </w:r>
          <w:r>
            <w:tab/>
          </w:r>
          <w:r>
            <w:fldChar w:fldCharType="begin"/>
          </w:r>
          <w:r>
            <w:instrText xml:space="preserve"> PAGEREF _Toc13699 \h </w:instrText>
          </w:r>
          <w:r>
            <w:fldChar w:fldCharType="separate"/>
          </w:r>
          <w:r>
            <w:t>25</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_Toc19250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（一）功能介绍</w:t>
          </w:r>
          <w:r>
            <w:tab/>
          </w:r>
          <w:r>
            <w:fldChar w:fldCharType="begin"/>
          </w:r>
          <w:r>
            <w:instrText xml:space="preserve"> PAGEREF _Toc19250 \h </w:instrText>
          </w:r>
          <w:r>
            <w:fldChar w:fldCharType="separate"/>
          </w:r>
          <w:r>
            <w:t>25</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_Toc29734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（二）具体操作</w:t>
          </w:r>
          <w:r>
            <w:tab/>
          </w:r>
          <w:r>
            <w:fldChar w:fldCharType="begin"/>
          </w:r>
          <w:r>
            <w:instrText xml:space="preserve"> PAGEREF _Toc29734 \h </w:instrText>
          </w:r>
          <w:r>
            <w:fldChar w:fldCharType="separate"/>
          </w:r>
          <w:r>
            <w:t>25</w:t>
          </w:r>
          <w:r>
            <w:fldChar w:fldCharType="end"/>
          </w:r>
          <w:r>
            <w:rPr>
              <w:rFonts w:hint="eastAsia" w:ascii="华文仿宋" w:hAnsi="华文仿宋" w:eastAsia="华文仿宋" w:cs="华文仿宋"/>
            </w:rPr>
            <w:fldChar w:fldCharType="end"/>
          </w:r>
        </w:p>
        <w:p>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_Toc15862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十三、预审开标</w:t>
          </w:r>
          <w:r>
            <w:tab/>
          </w:r>
          <w:r>
            <w:fldChar w:fldCharType="begin"/>
          </w:r>
          <w:r>
            <w:instrText xml:space="preserve"> PAGEREF _Toc15862 \h </w:instrText>
          </w:r>
          <w:r>
            <w:fldChar w:fldCharType="separate"/>
          </w:r>
          <w:r>
            <w:t>27</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_Toc19054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（一）开标准备</w:t>
          </w:r>
          <w:r>
            <w:tab/>
          </w:r>
          <w:r>
            <w:fldChar w:fldCharType="begin"/>
          </w:r>
          <w:r>
            <w:instrText xml:space="preserve"> PAGEREF _Toc19054 \h </w:instrText>
          </w:r>
          <w:r>
            <w:fldChar w:fldCharType="separate"/>
          </w:r>
          <w:r>
            <w:t>27</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_Toc32636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（二）开始开标</w:t>
          </w:r>
          <w:r>
            <w:tab/>
          </w:r>
          <w:r>
            <w:fldChar w:fldCharType="begin"/>
          </w:r>
          <w:r>
            <w:instrText xml:space="preserve"> PAGEREF _Toc32636 \h </w:instrText>
          </w:r>
          <w:r>
            <w:fldChar w:fldCharType="separate"/>
          </w:r>
          <w:r>
            <w:t>28</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_Toc18527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（三）解密投标文件</w:t>
          </w:r>
          <w:r>
            <w:tab/>
          </w:r>
          <w:r>
            <w:fldChar w:fldCharType="begin"/>
          </w:r>
          <w:r>
            <w:instrText xml:space="preserve"> PAGEREF _Toc18527 \h </w:instrText>
          </w:r>
          <w:r>
            <w:fldChar w:fldCharType="separate"/>
          </w:r>
          <w:r>
            <w:t>29</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_Toc3910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（四）开标结束</w:t>
          </w:r>
          <w:r>
            <w:tab/>
          </w:r>
          <w:r>
            <w:fldChar w:fldCharType="begin"/>
          </w:r>
          <w:r>
            <w:instrText xml:space="preserve"> PAGEREF _Toc3910 \h </w:instrText>
          </w:r>
          <w:r>
            <w:fldChar w:fldCharType="separate"/>
          </w:r>
          <w:r>
            <w:t>29</w:t>
          </w:r>
          <w:r>
            <w:fldChar w:fldCharType="end"/>
          </w:r>
          <w:r>
            <w:rPr>
              <w:rFonts w:hint="eastAsia" w:ascii="华文仿宋" w:hAnsi="华文仿宋" w:eastAsia="华文仿宋" w:cs="华文仿宋"/>
            </w:rPr>
            <w:fldChar w:fldCharType="end"/>
          </w:r>
        </w:p>
        <w:p>
          <w:pPr>
            <w:pStyle w:val="12"/>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_Toc2255 </w:instrText>
          </w:r>
          <w:r>
            <w:rPr>
              <w:rFonts w:hint="eastAsia" w:ascii="华文仿宋" w:hAnsi="华文仿宋" w:eastAsia="华文仿宋" w:cs="华文仿宋"/>
            </w:rPr>
            <w:fldChar w:fldCharType="separate"/>
          </w:r>
          <w:r>
            <w:rPr>
              <w:rFonts w:hint="eastAsia" w:ascii="华文仿宋" w:hAnsi="华文仿宋" w:eastAsia="华文仿宋" w:cs="华文仿宋"/>
              <w:bCs/>
              <w:kern w:val="2"/>
              <w:szCs w:val="32"/>
              <w:lang w:val="en-US" w:eastAsia="zh-CN" w:bidi="ar-SA"/>
              <w14:ligatures w14:val="none"/>
            </w:rPr>
            <w:t>十四、开标</w:t>
          </w:r>
          <w:r>
            <w:tab/>
          </w:r>
          <w:r>
            <w:fldChar w:fldCharType="begin"/>
          </w:r>
          <w:r>
            <w:instrText xml:space="preserve"> PAGEREF _Toc2255 \h </w:instrText>
          </w:r>
          <w:r>
            <w:fldChar w:fldCharType="separate"/>
          </w:r>
          <w:r>
            <w:t>30</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_Toc22691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（一）开标准备</w:t>
          </w:r>
          <w:r>
            <w:tab/>
          </w:r>
          <w:r>
            <w:fldChar w:fldCharType="begin"/>
          </w:r>
          <w:r>
            <w:instrText xml:space="preserve"> PAGEREF _Toc22691 \h </w:instrText>
          </w:r>
          <w:r>
            <w:fldChar w:fldCharType="separate"/>
          </w:r>
          <w:r>
            <w:t>30</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_Toc32328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（二）开始开标</w:t>
          </w:r>
          <w:r>
            <w:tab/>
          </w:r>
          <w:r>
            <w:fldChar w:fldCharType="begin"/>
          </w:r>
          <w:r>
            <w:instrText xml:space="preserve"> PAGEREF _Toc32328 \h </w:instrText>
          </w:r>
          <w:r>
            <w:fldChar w:fldCharType="separate"/>
          </w:r>
          <w:r>
            <w:t>31</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_Toc11946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（三）解密投标文件</w:t>
          </w:r>
          <w:r>
            <w:tab/>
          </w:r>
          <w:r>
            <w:fldChar w:fldCharType="begin"/>
          </w:r>
          <w:r>
            <w:instrText xml:space="preserve"> PAGEREF _Toc11946 \h </w:instrText>
          </w:r>
          <w:r>
            <w:fldChar w:fldCharType="separate"/>
          </w:r>
          <w:r>
            <w:t>32</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_Toc22407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（四）公开唱标</w:t>
          </w:r>
          <w:r>
            <w:tab/>
          </w:r>
          <w:r>
            <w:fldChar w:fldCharType="begin"/>
          </w:r>
          <w:r>
            <w:instrText xml:space="preserve"> PAGEREF _Toc22407 \h </w:instrText>
          </w:r>
          <w:r>
            <w:fldChar w:fldCharType="separate"/>
          </w:r>
          <w:r>
            <w:t>32</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_Toc5396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（五）确认开标信息</w:t>
          </w:r>
          <w:r>
            <w:tab/>
          </w:r>
          <w:r>
            <w:fldChar w:fldCharType="begin"/>
          </w:r>
          <w:r>
            <w:instrText xml:space="preserve"> PAGEREF _Toc5396 \h </w:instrText>
          </w:r>
          <w:r>
            <w:fldChar w:fldCharType="separate"/>
          </w:r>
          <w:r>
            <w:t>33</w:t>
          </w:r>
          <w:r>
            <w:fldChar w:fldCharType="end"/>
          </w:r>
          <w:r>
            <w:rPr>
              <w:rFonts w:hint="eastAsia" w:ascii="华文仿宋" w:hAnsi="华文仿宋" w:eastAsia="华文仿宋" w:cs="华文仿宋"/>
            </w:rPr>
            <w:fldChar w:fldCharType="end"/>
          </w:r>
        </w:p>
        <w:p>
          <w:pPr>
            <w:pStyle w:val="13"/>
            <w:tabs>
              <w:tab w:val="right" w:leader="dot" w:pos="8306"/>
            </w:tabs>
          </w:pPr>
          <w:r>
            <w:rPr>
              <w:rFonts w:hint="eastAsia" w:ascii="华文仿宋" w:hAnsi="华文仿宋" w:eastAsia="华文仿宋" w:cs="华文仿宋"/>
            </w:rPr>
            <w:fldChar w:fldCharType="begin"/>
          </w:r>
          <w:r>
            <w:rPr>
              <w:rFonts w:hint="eastAsia" w:ascii="华文仿宋" w:hAnsi="华文仿宋" w:eastAsia="华文仿宋" w:cs="华文仿宋"/>
            </w:rPr>
            <w:instrText xml:space="preserve"> HYPERLINK \l _Toc16751 </w:instrText>
          </w:r>
          <w:r>
            <w:rPr>
              <w:rFonts w:hint="eastAsia" w:ascii="华文仿宋" w:hAnsi="华文仿宋" w:eastAsia="华文仿宋" w:cs="华文仿宋"/>
            </w:rPr>
            <w:fldChar w:fldCharType="separate"/>
          </w:r>
          <w:r>
            <w:rPr>
              <w:rFonts w:hint="eastAsia" w:ascii="华文仿宋" w:hAnsi="华文仿宋" w:eastAsia="华文仿宋" w:cs="华文仿宋"/>
              <w:lang w:val="en-US" w:eastAsia="zh-CN"/>
            </w:rPr>
            <w:t>（六）开标结束</w:t>
          </w:r>
          <w:r>
            <w:tab/>
          </w:r>
          <w:r>
            <w:fldChar w:fldCharType="begin"/>
          </w:r>
          <w:r>
            <w:instrText xml:space="preserve"> PAGEREF _Toc16751 \h </w:instrText>
          </w:r>
          <w:r>
            <w:fldChar w:fldCharType="separate"/>
          </w:r>
          <w:r>
            <w:t>34</w:t>
          </w:r>
          <w:r>
            <w:fldChar w:fldCharType="end"/>
          </w:r>
          <w:r>
            <w:rPr>
              <w:rFonts w:hint="eastAsia" w:ascii="华文仿宋" w:hAnsi="华文仿宋" w:eastAsia="华文仿宋" w:cs="华文仿宋"/>
            </w:rPr>
            <w:fldChar w:fldCharType="end"/>
          </w:r>
        </w:p>
        <w:p>
          <w:pPr>
            <w:rPr>
              <w:rFonts w:hint="eastAsia" w:ascii="华文仿宋" w:hAnsi="华文仿宋" w:eastAsia="华文仿宋" w:cs="华文仿宋"/>
            </w:rPr>
          </w:pPr>
          <w:r>
            <w:rPr>
              <w:rFonts w:hint="eastAsia" w:ascii="华文仿宋" w:hAnsi="华文仿宋" w:eastAsia="华文仿宋" w:cs="华文仿宋"/>
            </w:rPr>
            <w:fldChar w:fldCharType="end"/>
          </w:r>
        </w:p>
      </w:sdtContent>
    </w:sdt>
    <w:p>
      <w:pPr>
        <w:rPr>
          <w:rFonts w:hint="eastAsia" w:ascii="华文仿宋" w:hAnsi="华文仿宋" w:eastAsia="华文仿宋" w:cs="华文仿宋"/>
        </w:rPr>
      </w:pPr>
    </w:p>
    <w:p>
      <w:pPr>
        <w:rPr>
          <w:rFonts w:hint="eastAsia" w:ascii="华文仿宋" w:hAnsi="华文仿宋" w:eastAsia="华文仿宋" w:cs="华文仿宋"/>
          <w:b/>
          <w:sz w:val="52"/>
          <w:szCs w:val="52"/>
        </w:rPr>
      </w:pPr>
      <w:r>
        <w:rPr>
          <w:rFonts w:hint="eastAsia" w:ascii="华文仿宋" w:hAnsi="华文仿宋" w:eastAsia="华文仿宋" w:cs="华文仿宋"/>
          <w:b/>
          <w:sz w:val="52"/>
          <w:szCs w:val="52"/>
        </w:rPr>
        <w:br w:type="page"/>
      </w:r>
    </w:p>
    <w:p>
      <w:pPr>
        <w:pStyle w:val="2"/>
        <w:rPr>
          <w:rFonts w:hint="eastAsia" w:ascii="华文仿宋" w:hAnsi="华文仿宋" w:eastAsia="华文仿宋" w:cs="华文仿宋"/>
          <w:b/>
          <w:bCs/>
          <w:kern w:val="2"/>
          <w:sz w:val="32"/>
          <w:szCs w:val="32"/>
          <w:lang w:val="en-US" w:eastAsia="zh-CN" w:bidi="ar-SA"/>
          <w14:ligatures w14:val="none"/>
        </w:rPr>
      </w:pPr>
      <w:bookmarkStart w:id="0" w:name="_Toc48748839"/>
      <w:bookmarkStart w:id="1" w:name="_Toc22688"/>
      <w:r>
        <w:rPr>
          <w:rFonts w:hint="eastAsia" w:ascii="华文仿宋" w:hAnsi="华文仿宋" w:eastAsia="华文仿宋" w:cs="华文仿宋"/>
          <w:b/>
          <w:bCs/>
          <w:kern w:val="2"/>
          <w:sz w:val="32"/>
          <w:szCs w:val="32"/>
          <w:lang w:val="en-US" w:eastAsia="zh-CN" w:bidi="ar-SA"/>
          <w14:ligatures w14:val="none"/>
        </w:rPr>
        <w:t>信创浏览器配置</w:t>
      </w:r>
      <w:bookmarkEnd w:id="0"/>
      <w:bookmarkEnd w:id="1"/>
    </w:p>
    <w:p>
      <w:pPr>
        <w:pStyle w:val="3"/>
        <w:widowControl w:val="0"/>
        <w:numPr>
          <w:ilvl w:val="1"/>
          <w:numId w:val="2"/>
        </w:numPr>
        <w:spacing w:before="156" w:beforeLines="50" w:after="156" w:afterLines="50"/>
        <w:jc w:val="both"/>
        <w:rPr>
          <w:rFonts w:hint="eastAsia" w:ascii="华文仿宋" w:hAnsi="华文仿宋" w:eastAsia="华文仿宋" w:cs="华文仿宋"/>
          <w:sz w:val="32"/>
        </w:rPr>
      </w:pPr>
      <w:bookmarkStart w:id="2" w:name="_Toc18540"/>
      <w:r>
        <w:rPr>
          <w:rFonts w:hint="eastAsia" w:ascii="华文仿宋" w:hAnsi="华文仿宋" w:eastAsia="华文仿宋" w:cs="华文仿宋"/>
          <w:sz w:val="32"/>
          <w:lang w:val="en-US" w:eastAsia="zh-CN"/>
        </w:rPr>
        <w:t>浏览器要求</w:t>
      </w:r>
      <w:bookmarkEnd w:id="2"/>
    </w:p>
    <w:p>
      <w:pPr>
        <w:keepNext w:val="0"/>
        <w:keepLines w:val="0"/>
        <w:pageBreakBefore w:val="0"/>
        <w:widowControl/>
        <w:suppressLineNumbers w:val="0"/>
        <w:kinsoku/>
        <w:wordWrap/>
        <w:overflowPunct/>
        <w:topLinePunct w:val="0"/>
        <w:autoSpaceDE/>
        <w:autoSpaceDN/>
        <w:bidi w:val="0"/>
        <w:adjustRightInd/>
        <w:snapToGrid/>
        <w:spacing w:line="440" w:lineRule="exact"/>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为了让系统插件能够正常工作，请使用：Edge浏览器、谷歌浏览器、360浏览器极速模式、搜狗浏览器极速模式。</w:t>
      </w:r>
    </w:p>
    <w:p>
      <w:pPr>
        <w:pStyle w:val="3"/>
        <w:widowControl w:val="0"/>
        <w:numPr>
          <w:ilvl w:val="1"/>
          <w:numId w:val="2"/>
        </w:numPr>
        <w:spacing w:before="156" w:beforeLines="50" w:after="156" w:afterLines="50"/>
        <w:jc w:val="both"/>
        <w:rPr>
          <w:rFonts w:hint="eastAsia" w:ascii="华文仿宋" w:hAnsi="华文仿宋" w:eastAsia="华文仿宋" w:cs="华文仿宋"/>
          <w:sz w:val="32"/>
          <w:lang w:val="en-US" w:eastAsia="zh-CN"/>
        </w:rPr>
      </w:pPr>
      <w:bookmarkStart w:id="3" w:name="_Toc29024"/>
      <w:r>
        <w:rPr>
          <w:rFonts w:hint="eastAsia" w:ascii="华文仿宋" w:hAnsi="华文仿宋" w:eastAsia="华文仿宋" w:cs="华文仿宋"/>
          <w:sz w:val="32"/>
          <w:lang w:val="en-US" w:eastAsia="zh-CN"/>
        </w:rPr>
        <w:t>需安装工具</w:t>
      </w:r>
      <w:bookmarkEnd w:id="3"/>
      <w:r>
        <w:rPr>
          <w:rFonts w:hint="eastAsia" w:ascii="华文仿宋" w:hAnsi="华文仿宋" w:eastAsia="华文仿宋" w:cs="华文仿宋"/>
          <w:sz w:val="32"/>
          <w:lang w:val="en-US" w:eastAsia="zh-CN"/>
        </w:rPr>
        <w:t xml:space="preserve"> </w:t>
      </w:r>
    </w:p>
    <w:p>
      <w:pPr>
        <w:keepNext w:val="0"/>
        <w:keepLines w:val="0"/>
        <w:widowControl/>
        <w:suppressLineNumbers w:val="0"/>
        <w:jc w:val="left"/>
        <w:rPr>
          <w:rFonts w:hint="eastAsia" w:ascii="华文仿宋" w:hAnsi="华文仿宋" w:eastAsia="华文仿宋" w:cs="华文仿宋"/>
          <w:sz w:val="28"/>
          <w:szCs w:val="28"/>
          <w:lang w:val="en-US" w:eastAsia="zh-CN"/>
        </w:rPr>
      </w:pPr>
      <w:r>
        <w:rPr>
          <w:rFonts w:hint="eastAsia" w:ascii="华文仿宋" w:hAnsi="华文仿宋" w:eastAsia="华文仿宋" w:cs="华文仿宋"/>
          <w:color w:val="000000"/>
          <w:kern w:val="0"/>
          <w:sz w:val="24"/>
          <w:szCs w:val="24"/>
          <w:lang w:val="en-US" w:eastAsia="zh-CN" w:bidi="ar"/>
          <w14:ligatures w14:val="standardContextual"/>
        </w:rPr>
        <w:t xml:space="preserve"> </w:t>
      </w:r>
      <w:r>
        <w:rPr>
          <w:rFonts w:hint="eastAsia" w:ascii="华文仿宋" w:hAnsi="华文仿宋" w:eastAsia="华文仿宋" w:cs="华文仿宋"/>
          <w:sz w:val="28"/>
          <w:szCs w:val="28"/>
          <w:lang w:val="en-US" w:eastAsia="zh-CN"/>
        </w:rPr>
        <w:t>济南信创招投标助手.exe</w:t>
      </w:r>
    </w:p>
    <w:p>
      <w:pPr>
        <w:keepNext w:val="0"/>
        <w:keepLines w:val="0"/>
        <w:widowControl/>
        <w:suppressLineNumbers w:val="0"/>
        <w:ind w:firstLine="840" w:firstLineChars="300"/>
        <w:jc w:val="left"/>
        <w:rPr>
          <w:rFonts w:hint="eastAsia" w:ascii="华文仿宋" w:hAnsi="华文仿宋" w:eastAsia="华文仿宋" w:cs="华文仿宋"/>
          <w:sz w:val="32"/>
          <w:szCs w:val="32"/>
          <w:lang w:val="en-US" w:eastAsia="zh-CN"/>
        </w:rPr>
      </w:pPr>
      <w:r>
        <w:rPr>
          <w:rFonts w:hint="default" w:ascii="华文仿宋" w:hAnsi="华文仿宋" w:eastAsia="华文仿宋" w:cs="华文仿宋"/>
          <w:sz w:val="28"/>
          <w:szCs w:val="28"/>
          <w:lang w:val="en-US" w:eastAsia="zh-CN"/>
        </w:rPr>
        <w:t>济南公共资源多CA统一认证中间件</w:t>
      </w:r>
    </w:p>
    <w:p>
      <w:pPr>
        <w:pStyle w:val="2"/>
        <w:rPr>
          <w:rFonts w:hint="eastAsia" w:ascii="华文仿宋" w:hAnsi="华文仿宋" w:eastAsia="华文仿宋" w:cs="华文仿宋"/>
          <w:b/>
          <w:bCs/>
          <w:kern w:val="2"/>
          <w:sz w:val="32"/>
          <w:szCs w:val="32"/>
          <w:lang w:val="en-US" w:eastAsia="zh-CN" w:bidi="ar-SA"/>
          <w14:ligatures w14:val="none"/>
        </w:rPr>
      </w:pPr>
      <w:bookmarkStart w:id="4" w:name="_Toc28070"/>
      <w:r>
        <w:rPr>
          <w:rFonts w:hint="eastAsia" w:ascii="华文仿宋" w:hAnsi="华文仿宋" w:eastAsia="华文仿宋" w:cs="华文仿宋"/>
          <w:b/>
          <w:bCs/>
          <w:kern w:val="2"/>
          <w:sz w:val="32"/>
          <w:szCs w:val="32"/>
          <w:lang w:val="en-US" w:eastAsia="zh-CN" w:bidi="ar-SA"/>
          <w14:ligatures w14:val="none"/>
        </w:rPr>
        <w:t>企业登录信创交易平台</w:t>
      </w:r>
      <w:bookmarkEnd w:id="4"/>
    </w:p>
    <w:p>
      <w:pPr>
        <w:rPr>
          <w:rFonts w:hint="default"/>
          <w:lang w:val="en-US" w:eastAsia="zh-CN"/>
        </w:rPr>
      </w:pPr>
      <w:r>
        <w:rPr>
          <w:rFonts w:hint="eastAsia" w:ascii="华文仿宋" w:hAnsi="华文仿宋" w:eastAsia="华文仿宋" w:cs="华文仿宋"/>
          <w:b/>
          <w:bCs/>
          <w:kern w:val="2"/>
          <w:sz w:val="32"/>
          <w:szCs w:val="32"/>
          <w:lang w:val="en-US" w:eastAsia="zh-CN" w:bidi="ar-SA"/>
          <w14:ligatures w14:val="none"/>
        </w:rPr>
        <w:t>业务流转：项目登记→场地预约→招标公告录入→招标文件提交→招标公告发布。</w:t>
      </w:r>
    </w:p>
    <w:p>
      <w:pPr>
        <w:keepNext w:val="0"/>
        <w:keepLines w:val="0"/>
        <w:pageBreakBefore w:val="0"/>
        <w:widowControl w:val="0"/>
        <w:numPr>
          <w:ilvl w:val="0"/>
          <w:numId w:val="3"/>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eastAsia="zh-CN"/>
        </w:rPr>
      </w:pPr>
      <w:r>
        <w:rPr>
          <w:rFonts w:hint="eastAsia" w:ascii="华文仿宋" w:hAnsi="华文仿宋" w:eastAsia="华文仿宋" w:cs="华文仿宋"/>
          <w:sz w:val="32"/>
          <w:szCs w:val="32"/>
          <w:lang w:val="en-US" w:eastAsia="zh-CN"/>
        </w:rPr>
        <w:t>交易主体可直接使用CA</w:t>
      </w:r>
      <w:r>
        <w:rPr>
          <w:rFonts w:hint="eastAsia" w:ascii="华文仿宋" w:hAnsi="华文仿宋" w:eastAsia="华文仿宋" w:cs="华文仿宋"/>
          <w:sz w:val="32"/>
          <w:szCs w:val="32"/>
        </w:rPr>
        <w:t>进入</w:t>
      </w:r>
      <w:r>
        <w:rPr>
          <w:rFonts w:hint="eastAsia" w:ascii="华文仿宋" w:hAnsi="华文仿宋" w:eastAsia="华文仿宋" w:cs="华文仿宋"/>
          <w:sz w:val="32"/>
          <w:szCs w:val="32"/>
          <w:lang w:val="en-US" w:eastAsia="zh-CN"/>
        </w:rPr>
        <w:t>济南公共资源交易中心</w:t>
      </w:r>
      <w:r>
        <w:rPr>
          <w:rFonts w:hint="eastAsia" w:ascii="华文仿宋" w:hAnsi="华文仿宋" w:eastAsia="华文仿宋" w:cs="华文仿宋"/>
          <w:sz w:val="32"/>
          <w:szCs w:val="32"/>
        </w:rPr>
        <w:t>登录页面，网址：</w:t>
      </w:r>
      <w:r>
        <w:rPr>
          <w:rFonts w:hint="eastAsia" w:ascii="华文仿宋" w:hAnsi="华文仿宋" w:eastAsia="华文仿宋" w:cs="华文仿宋"/>
          <w:sz w:val="32"/>
          <w:szCs w:val="32"/>
        </w:rPr>
        <w:fldChar w:fldCharType="begin"/>
      </w:r>
      <w:r>
        <w:rPr>
          <w:rFonts w:hint="eastAsia" w:ascii="华文仿宋" w:hAnsi="华文仿宋" w:eastAsia="华文仿宋" w:cs="华文仿宋"/>
          <w:sz w:val="32"/>
          <w:szCs w:val="32"/>
        </w:rPr>
        <w:instrText xml:space="preserve"> HYPERLINK "http://60.208.108.150:10081/jyweb/jn-login。" </w:instrText>
      </w:r>
      <w:r>
        <w:rPr>
          <w:rFonts w:hint="eastAsia" w:ascii="华文仿宋" w:hAnsi="华文仿宋" w:eastAsia="华文仿宋" w:cs="华文仿宋"/>
          <w:sz w:val="32"/>
          <w:szCs w:val="32"/>
        </w:rPr>
        <w:fldChar w:fldCharType="separate"/>
      </w:r>
      <w:r>
        <w:rPr>
          <w:rStyle w:val="18"/>
          <w:rFonts w:hint="eastAsia" w:ascii="华文仿宋" w:hAnsi="华文仿宋" w:eastAsia="华文仿宋" w:cs="华文仿宋"/>
          <w:sz w:val="32"/>
          <w:szCs w:val="32"/>
        </w:rPr>
        <w:t>http://60.208.108.150:10081/jyweb/jn-login</w:t>
      </w:r>
      <w:r>
        <w:rPr>
          <w:rStyle w:val="18"/>
          <w:rFonts w:hint="eastAsia" w:ascii="华文仿宋" w:hAnsi="华文仿宋" w:eastAsia="华文仿宋" w:cs="华文仿宋"/>
          <w:sz w:val="32"/>
          <w:szCs w:val="32"/>
          <w:lang w:eastAsia="zh-CN"/>
        </w:rPr>
        <w:t>。</w:t>
      </w:r>
      <w:r>
        <w:rPr>
          <w:rFonts w:hint="eastAsia" w:ascii="华文仿宋" w:hAnsi="华文仿宋" w:eastAsia="华文仿宋" w:cs="华文仿宋"/>
          <w:sz w:val="32"/>
          <w:szCs w:val="32"/>
        </w:rPr>
        <w:fldChar w:fldCharType="end"/>
      </w:r>
    </w:p>
    <w:p>
      <w:pPr>
        <w:keepNext w:val="0"/>
        <w:keepLines w:val="0"/>
        <w:pageBreakBefore w:val="0"/>
        <w:widowControl w:val="0"/>
        <w:numPr>
          <w:ilvl w:val="0"/>
          <w:numId w:val="3"/>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交易主体选择“CA登录”、选择“子系统”和“角色”，输入验证码。</w:t>
      </w:r>
    </w:p>
    <w:p>
      <w:pPr>
        <w:rPr>
          <w:rFonts w:hint="eastAsia" w:ascii="华文仿宋" w:hAnsi="华文仿宋" w:eastAsia="华文仿宋" w:cs="华文仿宋"/>
          <w:sz w:val="32"/>
          <w:szCs w:val="32"/>
          <w:lang w:val="en-US" w:eastAsia="zh-CN"/>
        </w:rPr>
      </w:pPr>
      <w:r>
        <w:drawing>
          <wp:inline distT="0" distB="0" distL="114300" distR="114300">
            <wp:extent cx="4249420" cy="2769235"/>
            <wp:effectExtent l="0" t="0" r="17780" b="12065"/>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6"/>
                    <a:stretch>
                      <a:fillRect/>
                    </a:stretch>
                  </pic:blipFill>
                  <pic:spPr>
                    <a:xfrm>
                      <a:off x="0" y="0"/>
                      <a:ext cx="4249420" cy="2769235"/>
                    </a:xfrm>
                    <a:prstGeom prst="rect">
                      <a:avLst/>
                    </a:prstGeom>
                    <a:noFill/>
                    <a:ln>
                      <a:noFill/>
                    </a:ln>
                  </pic:spPr>
                </pic:pic>
              </a:graphicData>
            </a:graphic>
          </wp:inline>
        </w:drawing>
      </w:r>
    </w:p>
    <w:p>
      <w:pPr>
        <w:keepNext w:val="0"/>
        <w:keepLines w:val="0"/>
        <w:pageBreakBefore w:val="0"/>
        <w:widowControl w:val="0"/>
        <w:numPr>
          <w:ilvl w:val="0"/>
          <w:numId w:val="4"/>
        </w:numPr>
        <w:kinsoku/>
        <w:wordWrap/>
        <w:overflowPunct/>
        <w:topLinePunct w:val="0"/>
        <w:autoSpaceDE/>
        <w:autoSpaceDN/>
        <w:bidi w:val="0"/>
        <w:adjustRightInd/>
        <w:snapToGrid/>
        <w:ind w:left="420" w:leftChars="200" w:firstLine="640" w:firstLine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点击“CA登录”入口，核对CA数字证书信息，点击“登录”按钮，确认CA数字证书信息，用户信息正确后，即可登录进入信创交易平台。(</w:t>
      </w:r>
      <w:r>
        <w:rPr>
          <w:rFonts w:hint="eastAsia" w:ascii="华文仿宋" w:hAnsi="华文仿宋" w:eastAsia="华文仿宋" w:cs="华文仿宋"/>
          <w:sz w:val="28"/>
          <w:szCs w:val="28"/>
          <w:lang w:val="en-US" w:eastAsia="zh-CN"/>
        </w:rPr>
        <w:t>CA数字证书登录方式需要用户先绑定CA数字证书，具体绑定请到企业管理中绑定CA数字证书</w:t>
      </w:r>
      <w:r>
        <w:rPr>
          <w:rFonts w:hint="eastAsia" w:ascii="华文仿宋" w:hAnsi="华文仿宋" w:eastAsia="华文仿宋" w:cs="华文仿宋"/>
          <w:sz w:val="32"/>
          <w:szCs w:val="32"/>
          <w:lang w:val="en-US" w:eastAsia="zh-CN"/>
        </w:rPr>
        <w:t>)</w:t>
      </w:r>
    </w:p>
    <w:p>
      <w:pPr>
        <w:pStyle w:val="2"/>
        <w:rPr>
          <w:rFonts w:hint="eastAsia" w:ascii="华文仿宋" w:hAnsi="华文仿宋" w:eastAsia="华文仿宋" w:cs="华文仿宋"/>
          <w:b/>
          <w:bCs/>
          <w:kern w:val="2"/>
          <w:sz w:val="32"/>
          <w:szCs w:val="32"/>
          <w:lang w:val="en-US" w:eastAsia="zh-CN" w:bidi="ar-SA"/>
          <w14:ligatures w14:val="none"/>
        </w:rPr>
      </w:pPr>
      <w:bookmarkStart w:id="5" w:name="_Toc13025"/>
      <w:r>
        <w:rPr>
          <w:rFonts w:hint="eastAsia" w:ascii="华文仿宋" w:hAnsi="华文仿宋" w:eastAsia="华文仿宋" w:cs="华文仿宋"/>
          <w:b/>
          <w:bCs/>
          <w:kern w:val="2"/>
          <w:sz w:val="32"/>
          <w:szCs w:val="32"/>
          <w:lang w:val="en-US" w:eastAsia="zh-CN" w:bidi="ar-SA"/>
          <w14:ligatures w14:val="none"/>
        </w:rPr>
        <w:t>新项目登记</w:t>
      </w:r>
      <w:bookmarkEnd w:id="5"/>
    </w:p>
    <w:p>
      <w:pPr>
        <w:rPr>
          <w:rFonts w:hint="default"/>
          <w:lang w:val="en-US"/>
        </w:rPr>
      </w:pPr>
      <w:r>
        <w:rPr>
          <w:rFonts w:hint="eastAsia" w:ascii="华文仿宋" w:hAnsi="华文仿宋" w:eastAsia="华文仿宋" w:cs="华文仿宋"/>
          <w:b/>
          <w:bCs/>
          <w:kern w:val="2"/>
          <w:sz w:val="32"/>
          <w:szCs w:val="32"/>
          <w:lang w:val="en-US" w:eastAsia="zh-CN" w:bidi="ar-SA"/>
          <w14:ligatures w14:val="none"/>
        </w:rPr>
        <w:t>业务流转：代理提交项目登记。</w:t>
      </w:r>
    </w:p>
    <w:p>
      <w:pPr>
        <w:keepNext w:val="0"/>
        <w:keepLines w:val="0"/>
        <w:pageBreakBefore w:val="0"/>
        <w:widowControl w:val="0"/>
        <w:numPr>
          <w:ilvl w:val="0"/>
          <w:numId w:val="5"/>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登录成功后，点击左侧“招标业务”的“招标项目”子菜单，进行新项目录入。</w:t>
      </w:r>
    </w:p>
    <w:p>
      <w:pPr>
        <w:ind w:left="0" w:leftChars="0" w:firstLine="0" w:firstLineChars="0"/>
      </w:pPr>
      <w:r>
        <w:drawing>
          <wp:inline distT="0" distB="0" distL="114300" distR="114300">
            <wp:extent cx="5266690" cy="1411605"/>
            <wp:effectExtent l="0" t="0" r="0" b="0"/>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7"/>
                    <a:srcRect b="44355"/>
                    <a:stretch>
                      <a:fillRect/>
                    </a:stretch>
                  </pic:blipFill>
                  <pic:spPr>
                    <a:xfrm>
                      <a:off x="0" y="0"/>
                      <a:ext cx="5266690" cy="1411605"/>
                    </a:xfrm>
                    <a:prstGeom prst="rect">
                      <a:avLst/>
                    </a:prstGeom>
                    <a:noFill/>
                    <a:ln>
                      <a:noFill/>
                    </a:ln>
                  </pic:spPr>
                </pic:pic>
              </a:graphicData>
            </a:graphic>
          </wp:inline>
        </w:drawing>
      </w:r>
    </w:p>
    <w:p>
      <w:pPr>
        <w:keepNext w:val="0"/>
        <w:keepLines w:val="0"/>
        <w:pageBreakBefore w:val="0"/>
        <w:widowControl w:val="0"/>
        <w:numPr>
          <w:ilvl w:val="0"/>
          <w:numId w:val="5"/>
        </w:numPr>
        <w:kinsoku/>
        <w:wordWrap/>
        <w:overflowPunct/>
        <w:topLinePunct w:val="0"/>
        <w:autoSpaceDE/>
        <w:autoSpaceDN/>
        <w:bidi w:val="0"/>
        <w:adjustRightInd/>
        <w:snapToGrid/>
        <w:textAlignment w:val="auto"/>
      </w:pPr>
      <w:r>
        <w:rPr>
          <w:rFonts w:hint="eastAsia" w:ascii="华文仿宋" w:hAnsi="华文仿宋" w:eastAsia="华文仿宋" w:cs="华文仿宋"/>
          <w:sz w:val="32"/>
          <w:szCs w:val="32"/>
          <w:lang w:val="en-US" w:eastAsia="zh-CN"/>
        </w:rPr>
        <w:t>“招标项目”列表展示已录入项目列表。代理点击“操作”列中的“进入业务”按钮，查看项目每个阶段的进展进度和信息。</w:t>
      </w:r>
    </w:p>
    <w:p>
      <w:pPr>
        <w:ind w:left="0" w:leftChars="0" w:firstLine="0" w:firstLineChars="0"/>
        <w:rPr>
          <w:rFonts w:hint="eastAsia" w:ascii="华文仿宋" w:hAnsi="华文仿宋" w:eastAsia="华文仿宋" w:cs="华文仿宋"/>
        </w:rPr>
      </w:pPr>
      <w:r>
        <w:drawing>
          <wp:inline distT="0" distB="0" distL="114300" distR="114300">
            <wp:extent cx="5266690" cy="1333500"/>
            <wp:effectExtent l="0" t="0" r="10160" b="0"/>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8"/>
                    <a:stretch>
                      <a:fillRect/>
                    </a:stretch>
                  </pic:blipFill>
                  <pic:spPr>
                    <a:xfrm>
                      <a:off x="0" y="0"/>
                      <a:ext cx="5266690" cy="133350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leftChars="0" w:firstLine="640" w:firstLine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3、招标代理可点击“新增”按钮，进入“新项目登记”。项目登记分为：招标项目概况、主体单位信息、标段信息、其他手续。</w:t>
      </w:r>
    </w:p>
    <w:p>
      <w:pPr>
        <w:keepNext w:val="0"/>
        <w:keepLines w:val="0"/>
        <w:pageBreakBefore w:val="0"/>
        <w:widowControl w:val="0"/>
        <w:numPr>
          <w:ilvl w:val="0"/>
          <w:numId w:val="0"/>
        </w:numPr>
        <w:kinsoku/>
        <w:wordWrap/>
        <w:overflowPunct/>
        <w:topLinePunct w:val="0"/>
        <w:autoSpaceDE/>
        <w:autoSpaceDN/>
        <w:bidi w:val="0"/>
        <w:adjustRightInd/>
        <w:snapToGrid/>
        <w:ind w:leftChars="0" w:firstLine="640" w:firstLine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（1）项目概况：录入项目名称、招标方式、资金来源、项目专业、行政区划、资格审查方式、是否纳入分散等相关信息。</w:t>
      </w:r>
    </w:p>
    <w:p>
      <w:pPr>
        <w:ind w:left="0" w:leftChars="0" w:firstLine="0" w:firstLineChars="0"/>
        <w:rPr>
          <w:rFonts w:hint="eastAsia" w:ascii="华文仿宋" w:hAnsi="华文仿宋" w:eastAsia="华文仿宋" w:cs="华文仿宋"/>
        </w:rPr>
      </w:pPr>
      <w:r>
        <w:drawing>
          <wp:inline distT="0" distB="0" distL="114300" distR="114300">
            <wp:extent cx="5266690" cy="2536825"/>
            <wp:effectExtent l="0" t="0" r="10160" b="1587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9"/>
                    <a:stretch>
                      <a:fillRect/>
                    </a:stretch>
                  </pic:blipFill>
                  <pic:spPr>
                    <a:xfrm>
                      <a:off x="0" y="0"/>
                      <a:ext cx="5266690" cy="2536825"/>
                    </a:xfrm>
                    <a:prstGeom prst="rect">
                      <a:avLst/>
                    </a:prstGeom>
                    <a:noFill/>
                    <a:ln>
                      <a:noFill/>
                    </a:ln>
                  </pic:spPr>
                </pic:pic>
              </a:graphicData>
            </a:graphic>
          </wp:inline>
        </w:drawing>
      </w:r>
    </w:p>
    <w:p>
      <w:pPr>
        <w:ind w:left="0" w:leftChars="0" w:firstLine="0" w:firstLineChars="0"/>
        <w:rPr>
          <w:rFonts w:hint="eastAsia" w:ascii="华文仿宋" w:hAnsi="华文仿宋" w:eastAsia="华文仿宋" w:cs="华文仿宋"/>
          <w:color w:val="FF0000"/>
          <w:sz w:val="24"/>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ind w:leftChars="0" w:firstLine="640" w:firstLine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（2）主体单位信息：录入招标的招标单位的相关信息。</w:t>
      </w:r>
    </w:p>
    <w:p>
      <w:pPr>
        <w:ind w:left="0" w:leftChars="0" w:firstLine="0" w:firstLineChars="0"/>
        <w:rPr>
          <w:rFonts w:hint="eastAsia" w:ascii="华文仿宋" w:hAnsi="华文仿宋" w:eastAsia="华文仿宋" w:cs="华文仿宋"/>
        </w:rPr>
      </w:pPr>
      <w:r>
        <w:drawing>
          <wp:inline distT="0" distB="0" distL="114300" distR="114300">
            <wp:extent cx="5266690" cy="1314450"/>
            <wp:effectExtent l="0" t="0" r="10160" b="0"/>
            <wp:docPr id="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1"/>
                    </pic:cNvPicPr>
                  </pic:nvPicPr>
                  <pic:blipFill>
                    <a:blip r:embed="rId10"/>
                    <a:stretch>
                      <a:fillRect/>
                    </a:stretch>
                  </pic:blipFill>
                  <pic:spPr>
                    <a:xfrm>
                      <a:off x="0" y="0"/>
                      <a:ext cx="5266690" cy="1314450"/>
                    </a:xfrm>
                    <a:prstGeom prst="rect">
                      <a:avLst/>
                    </a:prstGeom>
                    <a:noFill/>
                    <a:ln>
                      <a:noFill/>
                    </a:ln>
                  </pic:spPr>
                </pic:pic>
              </a:graphicData>
            </a:graphic>
          </wp:inline>
        </w:drawing>
      </w:r>
    </w:p>
    <w:p>
      <w:pPr>
        <w:rPr>
          <w:rFonts w:hint="eastAsia" w:ascii="华文仿宋" w:hAnsi="华文仿宋" w:eastAsia="华文仿宋" w:cs="华文仿宋"/>
          <w:lang w:val="en-US"/>
        </w:rPr>
      </w:pPr>
      <w:r>
        <w:rPr>
          <w:rFonts w:hint="eastAsia" w:ascii="华文仿宋" w:hAnsi="华文仿宋" w:eastAsia="华文仿宋" w:cs="华文仿宋"/>
          <w:sz w:val="32"/>
          <w:szCs w:val="32"/>
          <w:lang w:val="en-US" w:eastAsia="zh-CN"/>
        </w:rPr>
        <w:t>注：点击招标单位的“新增”按钮，在弹出页面中，选择“主要单位”，在单位名称列表输入“名称关键字”可直接提取单位的相关信息。</w:t>
      </w:r>
    </w:p>
    <w:p>
      <w:pPr>
        <w:ind w:left="0" w:leftChars="0" w:firstLine="0" w:firstLineChars="0"/>
        <w:jc w:val="center"/>
        <w:rPr>
          <w:rFonts w:hint="eastAsia" w:ascii="华文仿宋" w:hAnsi="华文仿宋" w:eastAsia="华文仿宋" w:cs="华文仿宋"/>
          <w:sz w:val="32"/>
          <w:szCs w:val="32"/>
          <w:lang w:val="en-US" w:eastAsia="zh-CN"/>
        </w:rPr>
      </w:pPr>
      <w:r>
        <w:drawing>
          <wp:inline distT="0" distB="0" distL="114300" distR="114300">
            <wp:extent cx="4303395" cy="2272665"/>
            <wp:effectExtent l="0" t="0" r="1905" b="13335"/>
            <wp:docPr id="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9"/>
                    <pic:cNvPicPr>
                      <a:picLocks noChangeAspect="1"/>
                    </pic:cNvPicPr>
                  </pic:nvPicPr>
                  <pic:blipFill>
                    <a:blip r:embed="rId11"/>
                    <a:stretch>
                      <a:fillRect/>
                    </a:stretch>
                  </pic:blipFill>
                  <pic:spPr>
                    <a:xfrm>
                      <a:off x="0" y="0"/>
                      <a:ext cx="4303395" cy="2272665"/>
                    </a:xfrm>
                    <a:prstGeom prst="rect">
                      <a:avLst/>
                    </a:prstGeom>
                    <a:noFill/>
                    <a:ln>
                      <a:noFill/>
                    </a:ln>
                  </pic:spPr>
                </pic:pic>
              </a:graphicData>
            </a:graphic>
          </wp:inline>
        </w:drawing>
      </w:r>
    </w:p>
    <w:p>
      <w:pPr>
        <w:keepNext w:val="0"/>
        <w:keepLines w:val="0"/>
        <w:pageBreakBefore w:val="0"/>
        <w:widowControl w:val="0"/>
        <w:numPr>
          <w:ilvl w:val="0"/>
          <w:numId w:val="6"/>
        </w:numPr>
        <w:kinsoku/>
        <w:wordWrap/>
        <w:overflowPunct/>
        <w:topLinePunct w:val="0"/>
        <w:autoSpaceDE/>
        <w:autoSpaceDN/>
        <w:bidi w:val="0"/>
        <w:adjustRightInd/>
        <w:snapToGrid/>
        <w:ind w:left="-10" w:leftChars="0" w:firstLine="640" w:firstLineChars="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标段信息：点击“新增”按钮，录入项目标段情况。</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drawing>
          <wp:inline distT="0" distB="0" distL="114300" distR="114300">
            <wp:extent cx="5266690" cy="1028700"/>
            <wp:effectExtent l="0" t="0" r="10160" b="0"/>
            <wp:docPr id="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
                    <pic:cNvPicPr>
                      <a:picLocks noChangeAspect="1"/>
                    </pic:cNvPicPr>
                  </pic:nvPicPr>
                  <pic:blipFill>
                    <a:blip r:embed="rId12"/>
                    <a:stretch>
                      <a:fillRect/>
                    </a:stretch>
                  </pic:blipFill>
                  <pic:spPr>
                    <a:xfrm>
                      <a:off x="0" y="0"/>
                      <a:ext cx="5266690" cy="102870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新增标段信息页面，录入标段（分包）名称、报价方式、标段（分包）内容、规模、专业类别等内容。</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b/>
          <w:bCs/>
        </w:rPr>
      </w:pPr>
      <w:r>
        <w:drawing>
          <wp:inline distT="0" distB="0" distL="114300" distR="114300">
            <wp:extent cx="5262880" cy="2621280"/>
            <wp:effectExtent l="0" t="0" r="13970" b="7620"/>
            <wp:docPr id="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
                    <pic:cNvPicPr>
                      <a:picLocks noChangeAspect="1"/>
                    </pic:cNvPicPr>
                  </pic:nvPicPr>
                  <pic:blipFill>
                    <a:blip r:embed="rId13"/>
                    <a:stretch>
                      <a:fillRect/>
                    </a:stretch>
                  </pic:blipFill>
                  <pic:spPr>
                    <a:xfrm>
                      <a:off x="0" y="0"/>
                      <a:ext cx="5262880" cy="262128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leftChars="0" w:firstLine="640" w:firstLineChars="200"/>
        <w:textAlignment w:val="auto"/>
        <w:rPr>
          <w:rFonts w:hint="eastAsia" w:ascii="华文仿宋" w:hAnsi="华文仿宋" w:eastAsia="华文仿宋" w:cs="华文仿宋"/>
          <w:lang w:val="en-US" w:eastAsia="zh-CN"/>
        </w:rPr>
      </w:pPr>
      <w:r>
        <w:rPr>
          <w:rFonts w:hint="eastAsia" w:ascii="华文仿宋" w:hAnsi="华文仿宋" w:eastAsia="华文仿宋" w:cs="华文仿宋"/>
          <w:sz w:val="32"/>
          <w:szCs w:val="32"/>
          <w:lang w:val="en-US" w:eastAsia="zh-CN"/>
        </w:rPr>
        <w:t>（5）其他手续：选择是否采用告知承诺制、查看承诺书并签章、上传计划批文、图审材料、代理合同等内容。</w:t>
      </w:r>
    </w:p>
    <w:p>
      <w:pPr>
        <w:ind w:left="0" w:leftChars="0" w:firstLine="0" w:firstLineChars="0"/>
      </w:pPr>
      <w:r>
        <w:drawing>
          <wp:inline distT="0" distB="0" distL="114300" distR="114300">
            <wp:extent cx="5266690" cy="1945640"/>
            <wp:effectExtent l="0" t="0" r="0" b="0"/>
            <wp:docPr id="6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1"/>
                    <pic:cNvPicPr>
                      <a:picLocks noChangeAspect="1"/>
                    </pic:cNvPicPr>
                  </pic:nvPicPr>
                  <pic:blipFill>
                    <a:blip r:embed="rId14"/>
                    <a:srcRect b="23304"/>
                    <a:stretch>
                      <a:fillRect/>
                    </a:stretch>
                  </pic:blipFill>
                  <pic:spPr>
                    <a:xfrm>
                      <a:off x="0" y="0"/>
                      <a:ext cx="5266690" cy="1945640"/>
                    </a:xfrm>
                    <a:prstGeom prst="rect">
                      <a:avLst/>
                    </a:prstGeom>
                    <a:noFill/>
                    <a:ln>
                      <a:noFill/>
                    </a:ln>
                  </pic:spPr>
                </pic:pic>
              </a:graphicData>
            </a:graphic>
          </wp:inline>
        </w:drawing>
      </w:r>
    </w:p>
    <w:p>
      <w:pPr>
        <w:ind w:left="0" w:leftChars="0" w:firstLine="0" w:firstLineChars="0"/>
        <w:rPr>
          <w:rFonts w:hint="eastAsia"/>
        </w:rPr>
      </w:pPr>
    </w:p>
    <w:p>
      <w:pPr>
        <w:keepNext w:val="0"/>
        <w:keepLines w:val="0"/>
        <w:pageBreakBefore w:val="0"/>
        <w:widowControl w:val="0"/>
        <w:numPr>
          <w:ilvl w:val="0"/>
          <w:numId w:val="6"/>
        </w:numPr>
        <w:kinsoku/>
        <w:wordWrap/>
        <w:overflowPunct/>
        <w:topLinePunct w:val="0"/>
        <w:autoSpaceDE/>
        <w:autoSpaceDN/>
        <w:bidi w:val="0"/>
        <w:adjustRightInd/>
        <w:snapToGrid/>
        <w:ind w:left="-10" w:leftChars="0" w:firstLine="640" w:firstLineChars="0"/>
        <w:textAlignment w:val="auto"/>
        <w:rPr>
          <w:rFonts w:hint="default"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填写完整项目登记信息后，招标代理点击“提交”按钮，提交项目登记信息。</w:t>
      </w:r>
    </w:p>
    <w:p>
      <w:pPr>
        <w:pStyle w:val="2"/>
        <w:rPr>
          <w:rFonts w:hint="eastAsia" w:ascii="华文仿宋" w:hAnsi="华文仿宋" w:eastAsia="华文仿宋" w:cs="华文仿宋"/>
          <w:b/>
          <w:bCs/>
          <w:kern w:val="2"/>
          <w:sz w:val="32"/>
          <w:szCs w:val="32"/>
          <w:lang w:val="en-US" w:eastAsia="zh-CN" w:bidi="ar-SA"/>
          <w14:ligatures w14:val="none"/>
        </w:rPr>
      </w:pPr>
      <w:bookmarkStart w:id="6" w:name="_Toc5818"/>
      <w:r>
        <w:rPr>
          <w:rFonts w:hint="eastAsia" w:ascii="华文仿宋" w:hAnsi="华文仿宋" w:eastAsia="华文仿宋" w:cs="华文仿宋"/>
          <w:b/>
          <w:bCs/>
          <w:kern w:val="2"/>
          <w:sz w:val="32"/>
          <w:szCs w:val="32"/>
          <w:lang w:val="en-US" w:eastAsia="zh-CN" w:bidi="ar-SA"/>
          <w14:ligatures w14:val="none"/>
        </w:rPr>
        <w:t>场地预约</w:t>
      </w:r>
      <w:bookmarkEnd w:id="6"/>
    </w:p>
    <w:p>
      <w:pPr>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提交完毕项目登记信息的项目通过场地预约功能预约项目开标、评标场地。</w:t>
      </w:r>
    </w:p>
    <w:p>
      <w:pPr>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（1）点击“场地预约”节点，进入场地预约页面。</w:t>
      </w:r>
    </w:p>
    <w:p>
      <w:pPr>
        <w:pStyle w:val="22"/>
        <w:pageBreakBefore w:val="0"/>
        <w:widowControl w:val="0"/>
        <w:kinsoku/>
        <w:wordWrap/>
        <w:overflowPunct/>
        <w:autoSpaceDE/>
        <w:autoSpaceDN/>
        <w:bidi w:val="0"/>
        <w:adjustRightInd/>
        <w:snapToGrid/>
        <w:spacing w:before="156" w:after="156"/>
        <w:rPr>
          <w:sz w:val="21"/>
          <w:szCs w:val="21"/>
        </w:rPr>
      </w:pPr>
      <w:r>
        <w:drawing>
          <wp:inline distT="0" distB="0" distL="114300" distR="114300">
            <wp:extent cx="5266690" cy="2536825"/>
            <wp:effectExtent l="0" t="0" r="10160" b="15875"/>
            <wp:docPr id="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2"/>
                    <pic:cNvPicPr>
                      <a:picLocks noChangeAspect="1"/>
                    </pic:cNvPicPr>
                  </pic:nvPicPr>
                  <pic:blipFill>
                    <a:blip r:embed="rId15"/>
                    <a:stretch>
                      <a:fillRect/>
                    </a:stretch>
                  </pic:blipFill>
                  <pic:spPr>
                    <a:xfrm>
                      <a:off x="0" y="0"/>
                      <a:ext cx="5266690" cy="2536825"/>
                    </a:xfrm>
                    <a:prstGeom prst="rect">
                      <a:avLst/>
                    </a:prstGeom>
                    <a:noFill/>
                    <a:ln>
                      <a:noFill/>
                    </a:ln>
                  </pic:spPr>
                </pic:pic>
              </a:graphicData>
            </a:graphic>
          </wp:inline>
        </w:drawing>
      </w:r>
    </w:p>
    <w:p>
      <w:r>
        <w:rPr>
          <w:rFonts w:hint="eastAsia" w:ascii="华文仿宋" w:hAnsi="华文仿宋" w:eastAsia="华文仿宋" w:cs="华文仿宋"/>
          <w:kern w:val="2"/>
          <w:sz w:val="28"/>
          <w:szCs w:val="28"/>
          <w:lang w:val="en-US" w:eastAsia="zh-CN" w:bidi="ar-SA"/>
          <w14:ligatures w14:val="standardContextual"/>
        </w:rPr>
        <w:t>（2）选择要预约的标段以及填写预约时间、专家人数、是否就近评标等信息。</w:t>
      </w:r>
    </w:p>
    <w:p>
      <w:r>
        <w:rPr>
          <w:rFonts w:hint="eastAsia" w:ascii="华文仿宋" w:hAnsi="华文仿宋" w:eastAsia="华文仿宋" w:cs="华文仿宋"/>
          <w:kern w:val="2"/>
          <w:sz w:val="28"/>
          <w:szCs w:val="28"/>
          <w:lang w:val="en-US" w:eastAsia="zh-CN" w:bidi="ar-SA"/>
          <w14:ligatures w14:val="standardContextual"/>
        </w:rPr>
        <w:t>（3）点击“预约”按钮，提交场地预约信息。</w:t>
      </w:r>
    </w:p>
    <w:p>
      <w:pPr>
        <w:pageBreakBefore w:val="0"/>
        <w:widowControl w:val="0"/>
        <w:numPr>
          <w:ilvl w:val="0"/>
          <w:numId w:val="7"/>
        </w:numPr>
        <w:kinsoku/>
        <w:wordWrap/>
        <w:overflowPunct/>
        <w:autoSpaceDE/>
        <w:autoSpaceDN/>
        <w:bidi w:val="0"/>
        <w:adjustRightInd/>
        <w:snapToGrid/>
        <w:ind w:left="420" w:leftChars="0" w:hanging="420" w:firstLineChars="0"/>
        <w:rPr>
          <w:b/>
          <w:sz w:val="21"/>
          <w:szCs w:val="21"/>
        </w:rPr>
      </w:pPr>
      <w:r>
        <w:rPr>
          <w:rFonts w:hint="eastAsia"/>
          <w:b/>
          <w:sz w:val="21"/>
          <w:szCs w:val="21"/>
        </w:rPr>
        <w:t>场地预约信息介绍</w:t>
      </w:r>
    </w:p>
    <w:p>
      <w:pPr>
        <w:pStyle w:val="20"/>
        <w:pageBreakBefore w:val="0"/>
        <w:widowControl w:val="0"/>
        <w:kinsoku/>
        <w:wordWrap/>
        <w:overflowPunct/>
        <w:autoSpaceDE/>
        <w:autoSpaceDN/>
        <w:bidi w:val="0"/>
        <w:adjustRightInd/>
        <w:snapToGrid/>
        <w:ind w:firstLine="361"/>
        <w:rPr>
          <w:sz w:val="21"/>
          <w:szCs w:val="21"/>
        </w:rPr>
      </w:pPr>
      <w:r>
        <w:rPr>
          <w:rFonts w:hint="eastAsia"/>
          <w:sz w:val="21"/>
          <w:szCs w:val="21"/>
          <w:lang w:val="en-US" w:eastAsia="zh-CN"/>
        </w:rPr>
        <w:t>标段（分包）</w:t>
      </w:r>
      <w:r>
        <w:rPr>
          <w:rFonts w:hint="eastAsia"/>
          <w:sz w:val="21"/>
          <w:szCs w:val="21"/>
        </w:rPr>
        <w:t>名称：当前需要预约场地的项目名称。系统自动获取。</w:t>
      </w:r>
    </w:p>
    <w:p>
      <w:pPr>
        <w:pStyle w:val="20"/>
        <w:pageBreakBefore w:val="0"/>
        <w:widowControl w:val="0"/>
        <w:kinsoku/>
        <w:wordWrap/>
        <w:overflowPunct/>
        <w:autoSpaceDE/>
        <w:autoSpaceDN/>
        <w:bidi w:val="0"/>
        <w:adjustRightInd/>
        <w:snapToGrid/>
        <w:ind w:firstLine="361"/>
        <w:rPr>
          <w:rFonts w:hint="eastAsia"/>
          <w:sz w:val="21"/>
          <w:szCs w:val="21"/>
          <w:lang w:eastAsia="zh-CN"/>
        </w:rPr>
      </w:pPr>
      <w:r>
        <w:rPr>
          <w:rFonts w:hint="eastAsia"/>
          <w:sz w:val="21"/>
          <w:szCs w:val="21"/>
        </w:rPr>
        <w:t>开标场地：项目开标室场地。</w:t>
      </w:r>
    </w:p>
    <w:p>
      <w:pPr>
        <w:pStyle w:val="20"/>
        <w:pageBreakBefore w:val="0"/>
        <w:widowControl w:val="0"/>
        <w:kinsoku/>
        <w:wordWrap/>
        <w:overflowPunct/>
        <w:autoSpaceDE/>
        <w:autoSpaceDN/>
        <w:bidi w:val="0"/>
        <w:adjustRightInd/>
        <w:snapToGrid/>
        <w:ind w:firstLine="361"/>
        <w:rPr>
          <w:rFonts w:hint="eastAsia"/>
          <w:sz w:val="21"/>
          <w:szCs w:val="21"/>
          <w:lang w:eastAsia="zh-CN"/>
        </w:rPr>
      </w:pPr>
      <w:r>
        <w:drawing>
          <wp:inline distT="0" distB="0" distL="114300" distR="114300">
            <wp:extent cx="5266690" cy="1736725"/>
            <wp:effectExtent l="0" t="0" r="10160" b="15875"/>
            <wp:docPr id="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3"/>
                    <pic:cNvPicPr>
                      <a:picLocks noChangeAspect="1"/>
                    </pic:cNvPicPr>
                  </pic:nvPicPr>
                  <pic:blipFill>
                    <a:blip r:embed="rId16"/>
                    <a:stretch>
                      <a:fillRect/>
                    </a:stretch>
                  </pic:blipFill>
                  <pic:spPr>
                    <a:xfrm>
                      <a:off x="0" y="0"/>
                      <a:ext cx="5266690" cy="1736725"/>
                    </a:xfrm>
                    <a:prstGeom prst="rect">
                      <a:avLst/>
                    </a:prstGeom>
                    <a:noFill/>
                    <a:ln>
                      <a:noFill/>
                    </a:ln>
                  </pic:spPr>
                </pic:pic>
              </a:graphicData>
            </a:graphic>
          </wp:inline>
        </w:drawing>
      </w:r>
    </w:p>
    <w:p>
      <w:pPr>
        <w:rPr>
          <w:rFonts w:hint="eastAsia" w:ascii="华文仿宋" w:hAnsi="华文仿宋" w:eastAsia="华文仿宋" w:cs="华文仿宋"/>
          <w:b/>
          <w:bCs/>
          <w:kern w:val="2"/>
          <w:sz w:val="32"/>
          <w:szCs w:val="32"/>
          <w:lang w:val="en-US" w:eastAsia="zh-CN" w:bidi="ar-SA"/>
          <w14:ligatures w14:val="none"/>
        </w:rPr>
      </w:pPr>
      <w:r>
        <w:rPr>
          <w:rFonts w:hint="eastAsia" w:ascii="华文仿宋" w:hAnsi="华文仿宋" w:eastAsia="华文仿宋" w:cs="华文仿宋"/>
          <w:kern w:val="2"/>
          <w:sz w:val="28"/>
          <w:szCs w:val="28"/>
          <w:lang w:val="en-US" w:eastAsia="zh-CN" w:bidi="ar-SA"/>
          <w14:ligatures w14:val="standardContextual"/>
        </w:rPr>
        <w:t>招标代理在发布公告前，可以点击“取消预约”按钮，撤销场地信息重新预约。</w:t>
      </w:r>
    </w:p>
    <w:p>
      <w:pPr>
        <w:pStyle w:val="2"/>
        <w:rPr>
          <w:rFonts w:hint="eastAsia" w:ascii="华文仿宋" w:hAnsi="华文仿宋" w:eastAsia="华文仿宋" w:cs="华文仿宋"/>
          <w:b/>
          <w:bCs/>
          <w:kern w:val="2"/>
          <w:sz w:val="32"/>
          <w:szCs w:val="32"/>
          <w:highlight w:val="none"/>
          <w:lang w:val="en-US" w:eastAsia="zh-CN" w:bidi="ar-SA"/>
          <w14:ligatures w14:val="none"/>
        </w:rPr>
      </w:pPr>
      <w:bookmarkStart w:id="7" w:name="_Toc27521"/>
      <w:r>
        <w:rPr>
          <w:rFonts w:hint="eastAsia" w:ascii="华文仿宋" w:hAnsi="华文仿宋" w:eastAsia="华文仿宋" w:cs="华文仿宋"/>
          <w:b/>
          <w:bCs/>
          <w:kern w:val="2"/>
          <w:sz w:val="32"/>
          <w:szCs w:val="32"/>
          <w:highlight w:val="none"/>
          <w:lang w:val="en-US" w:eastAsia="zh-CN" w:bidi="ar-SA"/>
          <w14:ligatures w14:val="none"/>
        </w:rPr>
        <w:t>招标公告</w:t>
      </w:r>
      <w:bookmarkEnd w:id="7"/>
    </w:p>
    <w:p>
      <w:pPr>
        <w:pStyle w:val="3"/>
        <w:numPr>
          <w:ilvl w:val="1"/>
          <w:numId w:val="0"/>
        </w:numPr>
        <w:bidi w:val="0"/>
        <w:ind w:left="-141" w:leftChars="0"/>
        <w:rPr>
          <w:rFonts w:hint="eastAsia" w:ascii="华文仿宋" w:hAnsi="华文仿宋" w:eastAsia="华文仿宋" w:cs="华文仿宋"/>
          <w:highlight w:val="none"/>
        </w:rPr>
      </w:pPr>
      <w:bookmarkStart w:id="8" w:name="_Toc23398"/>
      <w:r>
        <w:rPr>
          <w:rFonts w:hint="eastAsia" w:ascii="华文仿宋" w:hAnsi="华文仿宋" w:eastAsia="华文仿宋" w:cs="华文仿宋"/>
          <w:highlight w:val="none"/>
          <w:lang w:val="en-US" w:eastAsia="zh-CN"/>
        </w:rPr>
        <w:t>（一）</w:t>
      </w:r>
      <w:r>
        <w:rPr>
          <w:rFonts w:hint="eastAsia" w:ascii="华文仿宋" w:hAnsi="华文仿宋" w:eastAsia="华文仿宋" w:cs="华文仿宋"/>
          <w:highlight w:val="none"/>
        </w:rPr>
        <w:t>功能介绍</w:t>
      </w:r>
      <w:bookmarkEnd w:id="8"/>
    </w:p>
    <w:p>
      <w:pPr>
        <w:pageBreakBefore w:val="0"/>
        <w:widowControl w:val="0"/>
        <w:kinsoku/>
        <w:wordWrap/>
        <w:overflowPunct/>
        <w:autoSpaceDE/>
        <w:autoSpaceDN/>
        <w:bidi w:val="0"/>
        <w:adjustRightInd/>
        <w:snapToGrid/>
        <w:ind w:firstLine="420"/>
        <w:rPr>
          <w:sz w:val="28"/>
          <w:szCs w:val="28"/>
          <w:highlight w:val="none"/>
        </w:rPr>
      </w:pPr>
      <w:r>
        <w:rPr>
          <w:rFonts w:hint="eastAsia" w:ascii="华文仿宋" w:hAnsi="华文仿宋" w:eastAsia="华文仿宋" w:cs="华文仿宋"/>
          <w:kern w:val="2"/>
          <w:sz w:val="28"/>
          <w:szCs w:val="28"/>
          <w:highlight w:val="none"/>
          <w:lang w:val="en-US" w:eastAsia="zh-CN" w:bidi="ar-SA"/>
          <w14:ligatures w14:val="standardContextual"/>
        </w:rPr>
        <w:t>招标代理通过招标公告流程编制发布项目招标公告。</w:t>
      </w:r>
      <w:bookmarkStart w:id="9" w:name="_bookmark20"/>
      <w:bookmarkEnd w:id="9"/>
      <w:bookmarkStart w:id="10" w:name="_bookmark19"/>
      <w:bookmarkEnd w:id="10"/>
      <w:bookmarkStart w:id="11" w:name="_bookmark21"/>
      <w:bookmarkEnd w:id="11"/>
    </w:p>
    <w:p>
      <w:pPr>
        <w:pStyle w:val="3"/>
        <w:numPr>
          <w:ilvl w:val="1"/>
          <w:numId w:val="0"/>
        </w:numPr>
        <w:bidi w:val="0"/>
        <w:ind w:left="-141" w:leftChars="0"/>
        <w:rPr>
          <w:rFonts w:hint="eastAsia" w:ascii="华文仿宋" w:hAnsi="华文仿宋" w:eastAsia="华文仿宋" w:cs="华文仿宋"/>
          <w:highlight w:val="none"/>
          <w:lang w:val="en-US" w:eastAsia="zh-CN"/>
        </w:rPr>
      </w:pPr>
      <w:bookmarkStart w:id="12" w:name="_Toc13179"/>
      <w:r>
        <w:rPr>
          <w:rFonts w:hint="eastAsia" w:ascii="华文仿宋" w:hAnsi="华文仿宋" w:eastAsia="华文仿宋" w:cs="华文仿宋"/>
          <w:highlight w:val="none"/>
          <w:lang w:val="en-US" w:eastAsia="zh-CN"/>
        </w:rPr>
        <w:t>（二）具体操作</w:t>
      </w:r>
      <w:bookmarkEnd w:id="12"/>
    </w:p>
    <w:p>
      <w:pPr>
        <w:rPr>
          <w:rFonts w:hint="eastAsia" w:ascii="华文仿宋" w:hAnsi="华文仿宋" w:eastAsia="华文仿宋" w:cs="华文仿宋"/>
          <w:kern w:val="2"/>
          <w:sz w:val="28"/>
          <w:szCs w:val="28"/>
          <w:highlight w:val="none"/>
          <w:lang w:val="en-US" w:eastAsia="zh-CN" w:bidi="ar-SA"/>
          <w14:ligatures w14:val="standardContextual"/>
        </w:rPr>
      </w:pPr>
      <w:r>
        <w:rPr>
          <w:rFonts w:hint="eastAsia" w:ascii="华文仿宋" w:hAnsi="华文仿宋" w:eastAsia="华文仿宋" w:cs="华文仿宋"/>
          <w:kern w:val="2"/>
          <w:sz w:val="28"/>
          <w:szCs w:val="28"/>
          <w:highlight w:val="none"/>
          <w:lang w:val="en-US" w:eastAsia="zh-CN" w:bidi="ar-SA"/>
          <w14:ligatures w14:val="standardContextual"/>
        </w:rPr>
        <w:t>1、点击“招标公告”节点，进入招标公告页面。选择需要发布招标公告的项目，进入编制招标公告界面。</w:t>
      </w:r>
    </w:p>
    <w:p>
      <w:pPr>
        <w:pStyle w:val="22"/>
        <w:pageBreakBefore w:val="0"/>
        <w:widowControl w:val="0"/>
        <w:kinsoku/>
        <w:wordWrap/>
        <w:overflowPunct/>
        <w:autoSpaceDE/>
        <w:autoSpaceDN/>
        <w:bidi w:val="0"/>
        <w:adjustRightInd/>
        <w:snapToGrid/>
        <w:spacing w:before="156" w:after="156"/>
        <w:jc w:val="both"/>
      </w:pPr>
      <w:r>
        <w:drawing>
          <wp:inline distT="0" distB="0" distL="114300" distR="114300">
            <wp:extent cx="5266690" cy="225806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a:srcRect b="10989"/>
                    <a:stretch>
                      <a:fillRect/>
                    </a:stretch>
                  </pic:blipFill>
                  <pic:spPr>
                    <a:xfrm>
                      <a:off x="0" y="0"/>
                      <a:ext cx="5266690" cy="2258060"/>
                    </a:xfrm>
                    <a:prstGeom prst="rect">
                      <a:avLst/>
                    </a:prstGeom>
                    <a:noFill/>
                    <a:ln>
                      <a:noFill/>
                    </a:ln>
                  </pic:spPr>
                </pic:pic>
              </a:graphicData>
            </a:graphic>
          </wp:inline>
        </w:drawing>
      </w:r>
    </w:p>
    <w:p>
      <w:pPr>
        <w:pStyle w:val="22"/>
        <w:keepNext w:val="0"/>
        <w:keepLines w:val="0"/>
        <w:pageBreakBefore w:val="0"/>
        <w:widowControl w:val="0"/>
        <w:kinsoku/>
        <w:wordWrap/>
        <w:overflowPunct/>
        <w:topLinePunct w:val="0"/>
        <w:autoSpaceDE/>
        <w:autoSpaceDN/>
        <w:bidi w:val="0"/>
        <w:adjustRightInd/>
        <w:snapToGrid/>
        <w:spacing w:before="156" w:after="156" w:line="460" w:lineRule="exact"/>
        <w:ind w:firstLine="560" w:firstLineChars="200"/>
        <w:jc w:val="both"/>
        <w:textAlignment w:val="auto"/>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2、完善好招标公告信息后，点击“保存”按钮，保存招标公告信息；</w:t>
      </w:r>
    </w:p>
    <w:p>
      <w:pPr>
        <w:pageBreakBefore w:val="0"/>
        <w:widowControl w:val="0"/>
        <w:kinsoku/>
        <w:wordWrap/>
        <w:overflowPunct/>
        <w:autoSpaceDE/>
        <w:autoSpaceDN/>
        <w:bidi w:val="0"/>
        <w:adjustRightInd/>
        <w:snapToGrid/>
        <w:ind w:left="0" w:leftChars="0" w:firstLine="0" w:firstLineChars="0"/>
      </w:pPr>
      <w:r>
        <w:drawing>
          <wp:inline distT="0" distB="0" distL="114300" distR="114300">
            <wp:extent cx="5264785" cy="2242820"/>
            <wp:effectExtent l="0" t="0" r="0" b="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8"/>
                    <a:srcRect t="8284"/>
                    <a:stretch>
                      <a:fillRect/>
                    </a:stretch>
                  </pic:blipFill>
                  <pic:spPr>
                    <a:xfrm>
                      <a:off x="0" y="0"/>
                      <a:ext cx="5264785" cy="22428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460" w:lineRule="exact"/>
        <w:ind w:left="0" w:leftChars="0" w:firstLine="560" w:firstLineChars="200"/>
        <w:jc w:val="left"/>
        <w:textAlignment w:val="auto"/>
      </w:pPr>
      <w:r>
        <w:rPr>
          <w:rFonts w:hint="eastAsia" w:ascii="华文仿宋" w:hAnsi="华文仿宋" w:eastAsia="华文仿宋" w:cs="华文仿宋"/>
          <w:kern w:val="2"/>
          <w:sz w:val="28"/>
          <w:szCs w:val="28"/>
          <w:lang w:val="en-US" w:eastAsia="zh-CN" w:bidi="ar-SA"/>
          <w14:ligatures w14:val="standardContextual"/>
        </w:rPr>
        <w:t>3、点击“预览”按钮，可以预览查看招标公告详细信息。</w:t>
      </w:r>
    </w:p>
    <w:p>
      <w:pPr>
        <w:pageBreakBefore w:val="0"/>
        <w:widowControl w:val="0"/>
        <w:kinsoku/>
        <w:wordWrap/>
        <w:overflowPunct/>
        <w:autoSpaceDE/>
        <w:autoSpaceDN/>
        <w:bidi w:val="0"/>
        <w:adjustRightInd/>
        <w:snapToGrid/>
        <w:ind w:left="0" w:leftChars="0" w:firstLine="0" w:firstLineChars="0"/>
        <w:rPr>
          <w:rFonts w:hint="eastAsia"/>
          <w:sz w:val="21"/>
          <w:szCs w:val="21"/>
          <w:lang w:eastAsia="zh-CN"/>
        </w:rPr>
      </w:pPr>
    </w:p>
    <w:p>
      <w:pPr>
        <w:pStyle w:val="2"/>
        <w:numPr>
          <w:ilvl w:val="0"/>
          <w:numId w:val="1"/>
        </w:numPr>
        <w:rPr>
          <w:rFonts w:hint="eastAsia" w:ascii="华文仿宋" w:hAnsi="华文仿宋" w:eastAsia="华文仿宋" w:cs="华文仿宋"/>
        </w:rPr>
      </w:pPr>
      <w:bookmarkStart w:id="13" w:name="_Toc7331"/>
      <w:r>
        <w:rPr>
          <w:rFonts w:hint="eastAsia" w:ascii="华文仿宋" w:hAnsi="华文仿宋" w:eastAsia="华文仿宋" w:cs="华文仿宋"/>
          <w:b/>
          <w:bCs/>
          <w:kern w:val="2"/>
          <w:sz w:val="32"/>
          <w:szCs w:val="32"/>
          <w:lang w:val="en-US" w:eastAsia="zh-CN" w:bidi="ar-SA"/>
          <w14:ligatures w14:val="none"/>
        </w:rPr>
        <w:t>编制招标文件</w:t>
      </w:r>
      <w:bookmarkEnd w:id="13"/>
    </w:p>
    <w:p>
      <w:pPr>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1、点击“招标文件”业务节点，进行“创建文件”。</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drawing>
          <wp:inline distT="0" distB="0" distL="114300" distR="114300">
            <wp:extent cx="5266690" cy="1267460"/>
            <wp:effectExtent l="0" t="0" r="10160" b="8890"/>
            <wp:docPr id="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4"/>
                    <pic:cNvPicPr>
                      <a:picLocks noChangeAspect="1"/>
                    </pic:cNvPicPr>
                  </pic:nvPicPr>
                  <pic:blipFill>
                    <a:blip r:embed="rId19"/>
                    <a:stretch>
                      <a:fillRect/>
                    </a:stretch>
                  </pic:blipFill>
                  <pic:spPr>
                    <a:xfrm>
                      <a:off x="0" y="0"/>
                      <a:ext cx="5266690" cy="1267460"/>
                    </a:xfrm>
                    <a:prstGeom prst="rect">
                      <a:avLst/>
                    </a:prstGeom>
                    <a:noFill/>
                    <a:ln>
                      <a:noFill/>
                    </a:ln>
                  </pic:spPr>
                </pic:pic>
              </a:graphicData>
            </a:graphic>
          </wp:inline>
        </w:drawing>
      </w:r>
    </w:p>
    <w:p>
      <w:pPr>
        <w:keepNext w:val="0"/>
        <w:keepLines w:val="0"/>
        <w:pageBreakBefore w:val="0"/>
        <w:widowControl w:val="0"/>
        <w:numPr>
          <w:ilvl w:val="0"/>
          <w:numId w:val="8"/>
        </w:numPr>
        <w:kinsoku/>
        <w:wordWrap/>
        <w:overflowPunct/>
        <w:topLinePunct w:val="0"/>
        <w:autoSpaceDE/>
        <w:autoSpaceDN/>
        <w:bidi w:val="0"/>
        <w:adjustRightInd/>
        <w:snapToGrid/>
        <w:ind w:left="0" w:leftChars="0" w:firstLine="640" w:firstLine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点击“创建文件”，选择文件模版。</w:t>
      </w:r>
    </w:p>
    <w:p>
      <w:pPr>
        <w:ind w:left="0" w:leftChars="0" w:firstLine="0" w:firstLineChars="0"/>
        <w:rPr>
          <w:rFonts w:hint="eastAsia" w:ascii="华文仿宋" w:hAnsi="华文仿宋" w:eastAsia="华文仿宋" w:cs="华文仿宋"/>
          <w:sz w:val="32"/>
          <w:szCs w:val="32"/>
          <w:lang w:val="en-US" w:eastAsia="zh-CN"/>
        </w:rPr>
      </w:pPr>
      <w:r>
        <w:drawing>
          <wp:inline distT="0" distB="0" distL="114300" distR="114300">
            <wp:extent cx="5266690" cy="1014095"/>
            <wp:effectExtent l="0" t="0" r="10160" b="14605"/>
            <wp:docPr id="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5"/>
                    <pic:cNvPicPr>
                      <a:picLocks noChangeAspect="1"/>
                    </pic:cNvPicPr>
                  </pic:nvPicPr>
                  <pic:blipFill>
                    <a:blip r:embed="rId20"/>
                    <a:stretch>
                      <a:fillRect/>
                    </a:stretch>
                  </pic:blipFill>
                  <pic:spPr>
                    <a:xfrm>
                      <a:off x="0" y="0"/>
                      <a:ext cx="5266690" cy="1014095"/>
                    </a:xfrm>
                    <a:prstGeom prst="rect">
                      <a:avLst/>
                    </a:prstGeom>
                    <a:noFill/>
                    <a:ln>
                      <a:noFill/>
                    </a:ln>
                  </pic:spPr>
                </pic:pic>
              </a:graphicData>
            </a:graphic>
          </wp:inline>
        </w:drawing>
      </w:r>
    </w:p>
    <w:p>
      <w:pPr>
        <w:keepNext w:val="0"/>
        <w:keepLines w:val="0"/>
        <w:pageBreakBefore w:val="0"/>
        <w:widowControl w:val="0"/>
        <w:numPr>
          <w:ilvl w:val="0"/>
          <w:numId w:val="8"/>
        </w:numPr>
        <w:kinsoku/>
        <w:wordWrap/>
        <w:overflowPunct/>
        <w:topLinePunct w:val="0"/>
        <w:autoSpaceDE/>
        <w:autoSpaceDN/>
        <w:bidi w:val="0"/>
        <w:adjustRightInd/>
        <w:snapToGrid/>
        <w:ind w:left="0" w:leftChars="0" w:firstLine="640" w:firstLine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招标文件模版分为：基本信息、评标办法、编制采购书、文件汇总模块。</w:t>
      </w:r>
    </w:p>
    <w:p>
      <w:pPr>
        <w:pStyle w:val="3"/>
        <w:numPr>
          <w:ilvl w:val="1"/>
          <w:numId w:val="0"/>
        </w:numPr>
        <w:bidi w:val="0"/>
        <w:ind w:left="-141" w:leftChars="0"/>
        <w:rPr>
          <w:rFonts w:hint="eastAsia" w:ascii="华文仿宋" w:hAnsi="华文仿宋" w:eastAsia="华文仿宋" w:cs="华文仿宋"/>
          <w:sz w:val="32"/>
          <w:szCs w:val="32"/>
          <w:lang w:val="en-US" w:eastAsia="zh-CN"/>
        </w:rPr>
      </w:pPr>
      <w:bookmarkStart w:id="14" w:name="_Toc4832"/>
      <w:r>
        <w:rPr>
          <w:rFonts w:hint="eastAsia" w:ascii="华文仿宋" w:hAnsi="华文仿宋" w:eastAsia="华文仿宋" w:cs="华文仿宋"/>
          <w:lang w:val="en-US" w:eastAsia="zh-CN"/>
        </w:rPr>
        <w:t>（一）基本信息：</w:t>
      </w:r>
      <w:r>
        <w:rPr>
          <w:rFonts w:hint="eastAsia" w:ascii="华文仿宋" w:hAnsi="华文仿宋" w:eastAsia="华文仿宋" w:cs="华文仿宋"/>
          <w:sz w:val="32"/>
          <w:szCs w:val="32"/>
          <w:lang w:val="en-US" w:eastAsia="zh-CN"/>
        </w:rPr>
        <w:t>展示项目标段基本信息。</w:t>
      </w:r>
      <w:bookmarkEnd w:id="14"/>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drawing>
          <wp:inline distT="0" distB="0" distL="114300" distR="114300">
            <wp:extent cx="5266690" cy="1808480"/>
            <wp:effectExtent l="0" t="0" r="10160" b="1270"/>
            <wp:docPr id="7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6"/>
                    <pic:cNvPicPr>
                      <a:picLocks noChangeAspect="1"/>
                    </pic:cNvPicPr>
                  </pic:nvPicPr>
                  <pic:blipFill>
                    <a:blip r:embed="rId21"/>
                    <a:stretch>
                      <a:fillRect/>
                    </a:stretch>
                  </pic:blipFill>
                  <pic:spPr>
                    <a:xfrm>
                      <a:off x="0" y="0"/>
                      <a:ext cx="5266690" cy="180848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1、参数设置：对项目影响评标的关键数据进行设置。</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drawing>
          <wp:inline distT="0" distB="0" distL="114300" distR="114300">
            <wp:extent cx="5266690" cy="2611120"/>
            <wp:effectExtent l="0" t="0" r="10160" b="17780"/>
            <wp:docPr id="7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7"/>
                    <pic:cNvPicPr>
                      <a:picLocks noChangeAspect="1"/>
                    </pic:cNvPicPr>
                  </pic:nvPicPr>
                  <pic:blipFill>
                    <a:blip r:embed="rId22"/>
                    <a:stretch>
                      <a:fillRect/>
                    </a:stretch>
                  </pic:blipFill>
                  <pic:spPr>
                    <a:xfrm>
                      <a:off x="0" y="0"/>
                      <a:ext cx="5266690" cy="2611120"/>
                    </a:xfrm>
                    <a:prstGeom prst="rect">
                      <a:avLst/>
                    </a:prstGeom>
                    <a:noFill/>
                    <a:ln>
                      <a:noFill/>
                    </a:ln>
                  </pic:spPr>
                </pic:pic>
              </a:graphicData>
            </a:graphic>
          </wp:inline>
        </w:drawing>
      </w:r>
    </w:p>
    <w:p>
      <w:pPr>
        <w:pStyle w:val="3"/>
        <w:numPr>
          <w:ilvl w:val="1"/>
          <w:numId w:val="0"/>
        </w:numPr>
        <w:bidi w:val="0"/>
        <w:ind w:left="-141" w:leftChars="0"/>
        <w:rPr>
          <w:rFonts w:hint="eastAsia" w:ascii="华文仿宋" w:hAnsi="华文仿宋" w:eastAsia="华文仿宋" w:cs="华文仿宋"/>
          <w:lang w:val="en-US" w:eastAsia="zh-CN"/>
        </w:rPr>
      </w:pPr>
      <w:bookmarkStart w:id="15" w:name="_Toc18745"/>
      <w:r>
        <w:rPr>
          <w:rFonts w:hint="eastAsia" w:ascii="华文仿宋" w:hAnsi="华文仿宋" w:eastAsia="华文仿宋" w:cs="华文仿宋"/>
          <w:lang w:val="en-US" w:eastAsia="zh-CN"/>
        </w:rPr>
        <w:t>（二）开标一览表</w:t>
      </w:r>
      <w:bookmarkEnd w:id="15"/>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设置基本信息和报价信息，设定是否唱标，设定的开标一览表数据，由投标人进行填写。</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rPr>
      </w:pPr>
      <w:r>
        <w:drawing>
          <wp:inline distT="0" distB="0" distL="114300" distR="114300">
            <wp:extent cx="5266690" cy="1642110"/>
            <wp:effectExtent l="0" t="0" r="10160" b="15240"/>
            <wp:docPr id="7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8"/>
                    <pic:cNvPicPr>
                      <a:picLocks noChangeAspect="1"/>
                    </pic:cNvPicPr>
                  </pic:nvPicPr>
                  <pic:blipFill>
                    <a:blip r:embed="rId23"/>
                    <a:stretch>
                      <a:fillRect/>
                    </a:stretch>
                  </pic:blipFill>
                  <pic:spPr>
                    <a:xfrm>
                      <a:off x="0" y="0"/>
                      <a:ext cx="5266690" cy="164211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模版支持新增、删除、编辑、是否唱标等操作。</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（1）【新增投标信息项】：招标代理选中要新增项的父级节点，点击【新增】按钮，系统会在指定位置新增一条投标信息内容。</w:t>
      </w: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eastAsia" w:ascii="华文仿宋" w:hAnsi="华文仿宋" w:eastAsia="华文仿宋" w:cs="华文仿宋"/>
        </w:rPr>
      </w:pPr>
      <w:r>
        <w:drawing>
          <wp:inline distT="0" distB="0" distL="114300" distR="114300">
            <wp:extent cx="4351655" cy="2536825"/>
            <wp:effectExtent l="0" t="0" r="0" b="0"/>
            <wp:docPr id="8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7"/>
                    <pic:cNvPicPr>
                      <a:picLocks noChangeAspect="1"/>
                    </pic:cNvPicPr>
                  </pic:nvPicPr>
                  <pic:blipFill>
                    <a:blip r:embed="rId24"/>
                    <a:srcRect l="17374"/>
                    <a:stretch>
                      <a:fillRect/>
                    </a:stretch>
                  </pic:blipFill>
                  <pic:spPr>
                    <a:xfrm>
                      <a:off x="0" y="0"/>
                      <a:ext cx="4351655" cy="253682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（2）【编辑】：鼠标定位到编辑位置，修改要编辑的内容。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华文仿宋" w:hAnsi="华文仿宋" w:eastAsia="华文仿宋" w:cs="华文仿宋"/>
        </w:rPr>
      </w:pPr>
      <w:r>
        <w:drawing>
          <wp:inline distT="0" distB="0" distL="114300" distR="114300">
            <wp:extent cx="5271770" cy="1771650"/>
            <wp:effectExtent l="0" t="0" r="5080" b="0"/>
            <wp:docPr id="1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9"/>
                    <pic:cNvPicPr>
                      <a:picLocks noChangeAspect="1"/>
                    </pic:cNvPicPr>
                  </pic:nvPicPr>
                  <pic:blipFill>
                    <a:blip r:embed="rId25"/>
                    <a:stretch>
                      <a:fillRect/>
                    </a:stretch>
                  </pic:blipFill>
                  <pic:spPr>
                    <a:xfrm>
                      <a:off x="0" y="0"/>
                      <a:ext cx="5271770" cy="177165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（3）【是否唱标】：针对每一项投标信息，招标代理可以设定是否唱标。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ascii="华文仿宋" w:hAnsi="华文仿宋" w:eastAsia="华文仿宋" w:cs="华文仿宋"/>
        </w:rPr>
      </w:pPr>
      <w:r>
        <w:drawing>
          <wp:inline distT="0" distB="0" distL="114300" distR="114300">
            <wp:extent cx="5270500" cy="1626235"/>
            <wp:effectExtent l="0" t="0" r="6350" b="12065"/>
            <wp:docPr id="14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0"/>
                    <pic:cNvPicPr>
                      <a:picLocks noChangeAspect="1"/>
                    </pic:cNvPicPr>
                  </pic:nvPicPr>
                  <pic:blipFill>
                    <a:blip r:embed="rId26"/>
                    <a:stretch>
                      <a:fillRect/>
                    </a:stretch>
                  </pic:blipFill>
                  <pic:spPr>
                    <a:xfrm>
                      <a:off x="0" y="0"/>
                      <a:ext cx="5270500" cy="162623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（4）【删除】：招标代理在要删除的投标项后面点击“删除”按钮后点击“确定”。</w:t>
      </w:r>
    </w:p>
    <w:p>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73675" cy="2197735"/>
            <wp:effectExtent l="0" t="0" r="3175" b="12065"/>
            <wp:docPr id="14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21"/>
                    <pic:cNvPicPr>
                      <a:picLocks noChangeAspect="1"/>
                    </pic:cNvPicPr>
                  </pic:nvPicPr>
                  <pic:blipFill>
                    <a:blip r:embed="rId27"/>
                    <a:stretch>
                      <a:fillRect/>
                    </a:stretch>
                  </pic:blipFill>
                  <pic:spPr>
                    <a:xfrm>
                      <a:off x="0" y="0"/>
                      <a:ext cx="5273675" cy="2197735"/>
                    </a:xfrm>
                    <a:prstGeom prst="rect">
                      <a:avLst/>
                    </a:prstGeom>
                    <a:noFill/>
                    <a:ln>
                      <a:noFill/>
                    </a:ln>
                  </pic:spPr>
                </pic:pic>
              </a:graphicData>
            </a:graphic>
          </wp:inline>
        </w:drawing>
      </w:r>
    </w:p>
    <w:p>
      <w:pPr>
        <w:pStyle w:val="3"/>
        <w:numPr>
          <w:ilvl w:val="1"/>
          <w:numId w:val="0"/>
        </w:numPr>
        <w:bidi w:val="0"/>
        <w:ind w:left="-141" w:leftChars="0"/>
        <w:rPr>
          <w:rFonts w:hint="eastAsia" w:ascii="华文仿宋" w:hAnsi="华文仿宋" w:eastAsia="华文仿宋" w:cs="华文仿宋"/>
          <w:lang w:val="en-US" w:eastAsia="zh-CN"/>
        </w:rPr>
      </w:pPr>
      <w:bookmarkStart w:id="16" w:name="_Toc9610"/>
      <w:bookmarkStart w:id="17" w:name="_Toc4209"/>
      <w:r>
        <w:rPr>
          <w:rFonts w:hint="eastAsia" w:ascii="华文仿宋" w:hAnsi="华文仿宋" w:eastAsia="华文仿宋" w:cs="华文仿宋"/>
          <w:lang w:val="en-US" w:eastAsia="zh-CN"/>
        </w:rPr>
        <w:t>（三）采购明细</w:t>
      </w:r>
      <w:bookmarkEnd w:id="16"/>
      <w:bookmarkEnd w:id="17"/>
    </w:p>
    <w:p>
      <w:pPr>
        <w:keepNext w:val="0"/>
        <w:keepLines w:val="0"/>
        <w:pageBreakBefore w:val="0"/>
        <w:widowControl w:val="0"/>
        <w:numPr>
          <w:ilvl w:val="0"/>
          <w:numId w:val="0"/>
        </w:numPr>
        <w:kinsoku/>
        <w:wordWrap/>
        <w:overflowPunct/>
        <w:topLinePunct w:val="0"/>
        <w:autoSpaceDE/>
        <w:autoSpaceDN/>
        <w:bidi w:val="0"/>
        <w:adjustRightInd/>
        <w:snapToGrid/>
        <w:ind w:leftChars="20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采购明细分为“货物明细”和“服务明细”。</w:t>
      </w:r>
    </w:p>
    <w:p>
      <w:pPr>
        <w:keepNext w:val="0"/>
        <w:keepLines w:val="0"/>
        <w:pageBreakBefore w:val="0"/>
        <w:widowControl w:val="0"/>
        <w:numPr>
          <w:ilvl w:val="0"/>
          <w:numId w:val="9"/>
        </w:numPr>
        <w:kinsoku/>
        <w:wordWrap/>
        <w:overflowPunct/>
        <w:topLinePunct w:val="0"/>
        <w:autoSpaceDE/>
        <w:autoSpaceDN/>
        <w:bidi w:val="0"/>
        <w:adjustRightInd/>
        <w:snapToGrid/>
        <w:ind w:leftChars="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点击“新增清单明细”，录入“序号、货物名称、技术参数、数量、单位、备注”信息。</w:t>
      </w:r>
    </w:p>
    <w:p>
      <w:pPr>
        <w:ind w:left="0" w:leftChars="0" w:firstLine="0" w:firstLineChars="0"/>
        <w:rPr>
          <w:rFonts w:hint="eastAsia" w:ascii="华文仿宋" w:hAnsi="华文仿宋" w:eastAsia="华文仿宋" w:cs="华文仿宋"/>
        </w:rPr>
      </w:pPr>
      <w:r>
        <w:drawing>
          <wp:inline distT="0" distB="0" distL="114300" distR="114300">
            <wp:extent cx="5266690" cy="1217930"/>
            <wp:effectExtent l="0" t="0" r="10160" b="1270"/>
            <wp:docPr id="7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9"/>
                    <pic:cNvPicPr>
                      <a:picLocks noChangeAspect="1"/>
                    </pic:cNvPicPr>
                  </pic:nvPicPr>
                  <pic:blipFill>
                    <a:blip r:embed="rId28"/>
                    <a:stretch>
                      <a:fillRect/>
                    </a:stretch>
                  </pic:blipFill>
                  <pic:spPr>
                    <a:xfrm>
                      <a:off x="0" y="0"/>
                      <a:ext cx="5266690" cy="1217930"/>
                    </a:xfrm>
                    <a:prstGeom prst="rect">
                      <a:avLst/>
                    </a:prstGeom>
                    <a:noFill/>
                    <a:ln>
                      <a:noFill/>
                    </a:ln>
                  </pic:spPr>
                </pic:pic>
              </a:graphicData>
            </a:graphic>
          </wp:inline>
        </w:drawing>
      </w:r>
    </w:p>
    <w:p>
      <w:pPr>
        <w:keepNext w:val="0"/>
        <w:keepLines w:val="0"/>
        <w:pageBreakBefore w:val="0"/>
        <w:widowControl w:val="0"/>
        <w:numPr>
          <w:ilvl w:val="0"/>
          <w:numId w:val="9"/>
        </w:numPr>
        <w:kinsoku/>
        <w:wordWrap/>
        <w:overflowPunct/>
        <w:topLinePunct w:val="0"/>
        <w:autoSpaceDE/>
        <w:autoSpaceDN/>
        <w:bidi w:val="0"/>
        <w:adjustRightInd/>
        <w:snapToGrid/>
        <w:ind w:leftChars="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点击“下载明细模板”，下载系统明细模版样式。（注意：不可在模版列表上自增列名）</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sz w:val="32"/>
          <w:szCs w:val="32"/>
          <w:lang w:val="en-US" w:eastAsia="zh-CN"/>
        </w:rPr>
      </w:pPr>
      <w:r>
        <w:drawing>
          <wp:inline distT="0" distB="0" distL="114300" distR="114300">
            <wp:extent cx="5266690" cy="983615"/>
            <wp:effectExtent l="0" t="0" r="10160" b="6985"/>
            <wp:docPr id="7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0"/>
                    <pic:cNvPicPr>
                      <a:picLocks noChangeAspect="1"/>
                    </pic:cNvPicPr>
                  </pic:nvPicPr>
                  <pic:blipFill>
                    <a:blip r:embed="rId29"/>
                    <a:stretch>
                      <a:fillRect/>
                    </a:stretch>
                  </pic:blipFill>
                  <pic:spPr>
                    <a:xfrm>
                      <a:off x="0" y="0"/>
                      <a:ext cx="5266690" cy="983615"/>
                    </a:xfrm>
                    <a:prstGeom prst="rect">
                      <a:avLst/>
                    </a:prstGeom>
                    <a:noFill/>
                    <a:ln>
                      <a:noFill/>
                    </a:ln>
                  </pic:spPr>
                </pic:pic>
              </a:graphicData>
            </a:graphic>
          </wp:inline>
        </w:drawing>
      </w:r>
    </w:p>
    <w:p>
      <w:pPr>
        <w:keepNext w:val="0"/>
        <w:keepLines w:val="0"/>
        <w:pageBreakBefore w:val="0"/>
        <w:widowControl w:val="0"/>
        <w:numPr>
          <w:ilvl w:val="0"/>
          <w:numId w:val="9"/>
        </w:numPr>
        <w:kinsoku/>
        <w:wordWrap/>
        <w:overflowPunct/>
        <w:topLinePunct w:val="0"/>
        <w:autoSpaceDE/>
        <w:autoSpaceDN/>
        <w:bidi w:val="0"/>
        <w:adjustRightInd/>
        <w:snapToGrid/>
        <w:ind w:leftChars="0"/>
        <w:textAlignment w:val="auto"/>
        <w:rPr>
          <w:rFonts w:hint="eastAsia" w:ascii="华文仿宋" w:hAnsi="华文仿宋" w:eastAsia="华文仿宋" w:cs="华文仿宋"/>
          <w:sz w:val="32"/>
          <w:szCs w:val="32"/>
          <w:lang w:val="en-US" w:eastAsia="zh-CN"/>
        </w:rPr>
      </w:pPr>
      <w:r>
        <w:rPr>
          <w:rFonts w:hint="eastAsia" w:ascii="华文仿宋" w:hAnsi="华文仿宋" w:eastAsia="华文仿宋" w:cs="华文仿宋"/>
          <w:sz w:val="32"/>
          <w:szCs w:val="32"/>
          <w:lang w:val="en-US" w:eastAsia="zh-CN"/>
        </w:rPr>
        <w:t>点击“导入明细模板”，将已编辑好的明细，可以批量导入到系统中。（注意：不可在模版列表上自增列名）</w:t>
      </w:r>
    </w:p>
    <w:p>
      <w:pPr>
        <w:ind w:left="0" w:leftChars="0" w:firstLine="0" w:firstLineChars="0"/>
        <w:rPr>
          <w:rFonts w:hint="eastAsia" w:ascii="华文仿宋" w:hAnsi="华文仿宋" w:eastAsia="华文仿宋" w:cs="华文仿宋"/>
        </w:rPr>
      </w:pPr>
      <w:r>
        <w:drawing>
          <wp:inline distT="0" distB="0" distL="114300" distR="114300">
            <wp:extent cx="5266690" cy="1102995"/>
            <wp:effectExtent l="0" t="0" r="10160" b="1905"/>
            <wp:docPr id="7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1"/>
                    <pic:cNvPicPr>
                      <a:picLocks noChangeAspect="1"/>
                    </pic:cNvPicPr>
                  </pic:nvPicPr>
                  <pic:blipFill>
                    <a:blip r:embed="rId30"/>
                    <a:stretch>
                      <a:fillRect/>
                    </a:stretch>
                  </pic:blipFill>
                  <pic:spPr>
                    <a:xfrm>
                      <a:off x="0" y="0"/>
                      <a:ext cx="5266690" cy="110299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textAlignment w:val="auto"/>
      </w:pPr>
    </w:p>
    <w:p>
      <w:pPr>
        <w:pStyle w:val="3"/>
        <w:numPr>
          <w:ilvl w:val="1"/>
          <w:numId w:val="0"/>
        </w:numPr>
        <w:bidi w:val="0"/>
        <w:ind w:left="-141" w:leftChars="0"/>
        <w:rPr>
          <w:rFonts w:hint="eastAsia" w:ascii="华文仿宋" w:hAnsi="华文仿宋" w:eastAsia="华文仿宋" w:cs="华文仿宋"/>
          <w:lang w:val="en-US" w:eastAsia="zh-CN"/>
        </w:rPr>
      </w:pPr>
      <w:bookmarkStart w:id="18" w:name="_Toc7086"/>
      <w:r>
        <w:rPr>
          <w:rFonts w:hint="eastAsia" w:ascii="华文仿宋" w:hAnsi="华文仿宋" w:eastAsia="华文仿宋" w:cs="华文仿宋"/>
          <w:lang w:val="en-US" w:eastAsia="zh-CN"/>
        </w:rPr>
        <w:t>（四）评标办法</w:t>
      </w:r>
      <w:bookmarkEnd w:id="18"/>
    </w:p>
    <w:p>
      <w:pPr>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评标办法文件需要对【投标文件要求（目录项）】和【评审标准（评分项）】进行</w:t>
      </w:r>
      <w:r>
        <w:rPr>
          <w:rFonts w:hint="eastAsia" w:ascii="华文仿宋" w:hAnsi="华文仿宋" w:eastAsia="华文仿宋" w:cs="华文仿宋"/>
          <w:b/>
          <w:bCs/>
          <w:color w:val="FF0000"/>
          <w:sz w:val="28"/>
          <w:szCs w:val="28"/>
          <w:lang w:val="en-US" w:eastAsia="zh-CN"/>
        </w:rPr>
        <w:t>分开</w:t>
      </w:r>
      <w:r>
        <w:rPr>
          <w:rFonts w:hint="eastAsia" w:ascii="华文仿宋" w:hAnsi="华文仿宋" w:eastAsia="华文仿宋" w:cs="华文仿宋"/>
          <w:sz w:val="28"/>
          <w:szCs w:val="28"/>
          <w:lang w:val="en-US" w:eastAsia="zh-CN"/>
        </w:rPr>
        <w:t>编制。评分项与目录项通过</w:t>
      </w:r>
      <w:r>
        <w:rPr>
          <w:rFonts w:hint="eastAsia" w:ascii="华文仿宋" w:hAnsi="华文仿宋" w:eastAsia="华文仿宋" w:cs="华文仿宋"/>
          <w:b/>
          <w:bCs/>
          <w:color w:val="FF0000"/>
          <w:sz w:val="28"/>
          <w:szCs w:val="28"/>
          <w:lang w:val="en-US" w:eastAsia="zh-CN"/>
        </w:rPr>
        <w:t>关联目录</w:t>
      </w:r>
      <w:r>
        <w:rPr>
          <w:rFonts w:hint="eastAsia" w:ascii="华文仿宋" w:hAnsi="华文仿宋" w:eastAsia="华文仿宋" w:cs="华文仿宋"/>
          <w:sz w:val="28"/>
          <w:szCs w:val="28"/>
          <w:lang w:val="en-US" w:eastAsia="zh-CN"/>
        </w:rPr>
        <w:t>功能进行绑定，关联目录可以减少专家查找文件时间。</w:t>
      </w:r>
    </w:p>
    <w:p>
      <w:pPr>
        <w:pStyle w:val="4"/>
        <w:bidi w:val="0"/>
        <w:rPr>
          <w:rFonts w:hint="eastAsia" w:ascii="华文仿宋" w:hAnsi="华文仿宋" w:eastAsia="华文仿宋" w:cs="华文仿宋"/>
          <w:lang w:val="en-US" w:eastAsia="zh-CN"/>
        </w:rPr>
      </w:pPr>
      <w:bookmarkStart w:id="19" w:name="_Toc409"/>
      <w:bookmarkStart w:id="20" w:name="_Toc14397"/>
      <w:r>
        <w:rPr>
          <w:rFonts w:hint="eastAsia" w:ascii="华文仿宋" w:hAnsi="华文仿宋" w:eastAsia="华文仿宋" w:cs="华文仿宋"/>
          <w:lang w:val="en-US" w:eastAsia="zh-CN"/>
        </w:rPr>
        <w:t>第一步：选择评标办法参数设置模版</w:t>
      </w:r>
      <w:bookmarkEnd w:id="19"/>
      <w:bookmarkEnd w:id="20"/>
    </w:p>
    <w:p>
      <w:pPr>
        <w:ind w:firstLine="560"/>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需要在【投标文件组成设置】中切换选择模版。</w:t>
      </w:r>
    </w:p>
    <w:p>
      <w:pPr>
        <w:ind w:left="0" w:leftChars="0" w:firstLine="0" w:firstLineChars="0"/>
        <w:rPr>
          <w:rFonts w:hint="eastAsia" w:ascii="华文仿宋" w:hAnsi="华文仿宋" w:eastAsia="华文仿宋" w:cs="华文仿宋"/>
        </w:rPr>
      </w:pPr>
      <w:r>
        <w:drawing>
          <wp:inline distT="0" distB="0" distL="114300" distR="114300">
            <wp:extent cx="5266690" cy="2085975"/>
            <wp:effectExtent l="0" t="0" r="10160" b="9525"/>
            <wp:docPr id="8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2"/>
                    <pic:cNvPicPr>
                      <a:picLocks noChangeAspect="1"/>
                    </pic:cNvPicPr>
                  </pic:nvPicPr>
                  <pic:blipFill>
                    <a:blip r:embed="rId31"/>
                    <a:stretch>
                      <a:fillRect/>
                    </a:stretch>
                  </pic:blipFill>
                  <pic:spPr>
                    <a:xfrm>
                      <a:off x="0" y="0"/>
                      <a:ext cx="5266690" cy="2085975"/>
                    </a:xfrm>
                    <a:prstGeom prst="rect">
                      <a:avLst/>
                    </a:prstGeom>
                    <a:noFill/>
                    <a:ln>
                      <a:noFill/>
                    </a:ln>
                  </pic:spPr>
                </pic:pic>
              </a:graphicData>
            </a:graphic>
          </wp:inline>
        </w:drawing>
      </w:r>
    </w:p>
    <w:p>
      <w:pPr>
        <w:pStyle w:val="4"/>
        <w:bidi w:val="0"/>
        <w:rPr>
          <w:rFonts w:hint="eastAsia" w:ascii="华文仿宋" w:hAnsi="华文仿宋" w:eastAsia="华文仿宋" w:cs="华文仿宋"/>
          <w:lang w:val="en-US" w:eastAsia="zh-CN"/>
        </w:rPr>
      </w:pPr>
      <w:bookmarkStart w:id="21" w:name="_Toc12647"/>
      <w:bookmarkStart w:id="22" w:name="_Toc17647"/>
      <w:r>
        <w:rPr>
          <w:rFonts w:hint="eastAsia" w:ascii="华文仿宋" w:hAnsi="华文仿宋" w:eastAsia="华文仿宋" w:cs="华文仿宋"/>
          <w:lang w:val="en-US" w:eastAsia="zh-CN"/>
        </w:rPr>
        <w:t>第二步：设置投标文件组成</w:t>
      </w:r>
      <w:bookmarkEnd w:id="21"/>
      <w:bookmarkEnd w:id="22"/>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【投标文件组成设置】：投标人制作投标文件时可以绑定的目录项，招标人需认真设定，若有评分项未提供给投标人绑定项可能会导致项目争议。</w:t>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投标文件目录设置可编辑每个目录项的名称，投标文件要求和投标文件模版。目录项支持设定是否启用、是否必填、添加子项、删除操作；目录项编辑完成后选中最上面的投标文件目录菜单，选择“本地保存”，建议保存文件命名时加上项目名称和评分办法名称，便于下次使用时区分。</w:t>
      </w:r>
    </w:p>
    <w:p>
      <w:pPr>
        <w:ind w:left="0" w:leftChars="0" w:firstLine="0" w:firstLineChars="0"/>
        <w:rPr>
          <w:rFonts w:hint="eastAsia" w:ascii="华文仿宋" w:hAnsi="华文仿宋" w:eastAsia="华文仿宋" w:cs="华文仿宋"/>
        </w:rPr>
      </w:pPr>
      <w:r>
        <w:drawing>
          <wp:inline distT="0" distB="0" distL="114300" distR="114300">
            <wp:extent cx="5266690" cy="1035050"/>
            <wp:effectExtent l="0" t="0" r="10160" b="12700"/>
            <wp:docPr id="8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3"/>
                    <pic:cNvPicPr>
                      <a:picLocks noChangeAspect="1"/>
                    </pic:cNvPicPr>
                  </pic:nvPicPr>
                  <pic:blipFill>
                    <a:blip r:embed="rId32"/>
                    <a:stretch>
                      <a:fillRect/>
                    </a:stretch>
                  </pic:blipFill>
                  <pic:spPr>
                    <a:xfrm>
                      <a:off x="0" y="0"/>
                      <a:ext cx="5266690" cy="103505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（1）编辑目录项：点击要编辑目录项后的【编辑按钮】，在弹出页面中修改目录项名称、投标文件要求。</w:t>
      </w:r>
    </w:p>
    <w:p>
      <w:pPr>
        <w:ind w:left="0" w:leftChars="0" w:firstLine="0" w:firstLineChars="0"/>
        <w:rPr>
          <w:rFonts w:hint="eastAsia" w:ascii="华文仿宋" w:hAnsi="华文仿宋" w:eastAsia="华文仿宋" w:cs="华文仿宋"/>
        </w:rPr>
      </w:pPr>
      <w:r>
        <w:rPr>
          <w:rFonts w:hint="eastAsia" w:ascii="华文仿宋" w:hAnsi="华文仿宋" w:eastAsia="华文仿宋" w:cs="华文仿宋"/>
        </w:rPr>
        <w:drawing>
          <wp:inline distT="0" distB="0" distL="114300" distR="114300">
            <wp:extent cx="5007610" cy="2232660"/>
            <wp:effectExtent l="9525" t="9525" r="12065" b="24765"/>
            <wp:docPr id="3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pic:cNvPicPr>
                      <a:picLocks noChangeAspect="1"/>
                    </pic:cNvPicPr>
                  </pic:nvPicPr>
                  <pic:blipFill>
                    <a:blip r:embed="rId33"/>
                    <a:stretch>
                      <a:fillRect/>
                    </a:stretch>
                  </pic:blipFill>
                  <pic:spPr>
                    <a:xfrm>
                      <a:off x="0" y="0"/>
                      <a:ext cx="5007610" cy="2232660"/>
                    </a:xfrm>
                    <a:prstGeom prst="rect">
                      <a:avLst/>
                    </a:prstGeom>
                    <a:noFill/>
                    <a:ln>
                      <a:solidFill>
                        <a:srgbClr val="0000FF"/>
                      </a:solidFill>
                    </a:ln>
                  </pic:spPr>
                </pic:pic>
              </a:graphicData>
            </a:graphic>
          </wp:inline>
        </w:drawing>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添加子项：点击要添加目录项后的【添加子项】按钮，在弹出页面中填写目录名称、投标文件要求。</w:t>
      </w:r>
    </w:p>
    <w:p>
      <w:pPr>
        <w:ind w:left="0" w:leftChars="0" w:firstLine="0" w:firstLineChars="0"/>
        <w:rPr>
          <w:rFonts w:hint="eastAsia" w:ascii="华文仿宋" w:hAnsi="华文仿宋" w:eastAsia="华文仿宋" w:cs="华文仿宋"/>
        </w:rPr>
      </w:pPr>
      <w:r>
        <w:drawing>
          <wp:inline distT="0" distB="0" distL="114300" distR="114300">
            <wp:extent cx="5266690" cy="2014220"/>
            <wp:effectExtent l="0" t="0" r="10160" b="5080"/>
            <wp:docPr id="8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4"/>
                    <pic:cNvPicPr>
                      <a:picLocks noChangeAspect="1"/>
                    </pic:cNvPicPr>
                  </pic:nvPicPr>
                  <pic:blipFill>
                    <a:blip r:embed="rId34"/>
                    <a:stretch>
                      <a:fillRect/>
                    </a:stretch>
                  </pic:blipFill>
                  <pic:spPr>
                    <a:xfrm>
                      <a:off x="0" y="0"/>
                      <a:ext cx="5266690" cy="2014220"/>
                    </a:xfrm>
                    <a:prstGeom prst="rect">
                      <a:avLst/>
                    </a:prstGeom>
                    <a:noFill/>
                    <a:ln>
                      <a:noFill/>
                    </a:ln>
                  </pic:spPr>
                </pic:pic>
              </a:graphicData>
            </a:graphic>
          </wp:inline>
        </w:drawing>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启用:招标人（招标代理）可对评分办法模板中不使用项，设定为不启用。</w:t>
      </w:r>
    </w:p>
    <w:p>
      <w:pPr>
        <w:ind w:left="0" w:leftChars="0" w:firstLine="0" w:firstLineChars="0"/>
        <w:rPr>
          <w:rFonts w:hint="eastAsia" w:ascii="华文仿宋" w:hAnsi="华文仿宋" w:eastAsia="华文仿宋" w:cs="华文仿宋"/>
        </w:rPr>
      </w:pPr>
      <w:r>
        <w:drawing>
          <wp:inline distT="0" distB="0" distL="114300" distR="114300">
            <wp:extent cx="5266690" cy="1466850"/>
            <wp:effectExtent l="0" t="0" r="10160" b="0"/>
            <wp:docPr id="8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5"/>
                    <pic:cNvPicPr>
                      <a:picLocks noChangeAspect="1"/>
                    </pic:cNvPicPr>
                  </pic:nvPicPr>
                  <pic:blipFill>
                    <a:blip r:embed="rId35"/>
                    <a:stretch>
                      <a:fillRect/>
                    </a:stretch>
                  </pic:blipFill>
                  <pic:spPr>
                    <a:xfrm>
                      <a:off x="0" y="0"/>
                      <a:ext cx="5266690" cy="1466850"/>
                    </a:xfrm>
                    <a:prstGeom prst="rect">
                      <a:avLst/>
                    </a:prstGeom>
                    <a:noFill/>
                    <a:ln>
                      <a:noFill/>
                    </a:ln>
                  </pic:spPr>
                </pic:pic>
              </a:graphicData>
            </a:graphic>
          </wp:inline>
        </w:drawing>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必填：对投标人必须上传的目录项，设定为必填。</w:t>
      </w:r>
    </w:p>
    <w:p>
      <w:pPr>
        <w:ind w:left="0" w:leftChars="0" w:firstLine="0" w:firstLineChars="0"/>
        <w:rPr>
          <w:rFonts w:hint="eastAsia" w:ascii="华文仿宋" w:hAnsi="华文仿宋" w:eastAsia="华文仿宋" w:cs="华文仿宋"/>
        </w:rPr>
      </w:pPr>
      <w:r>
        <w:drawing>
          <wp:inline distT="0" distB="0" distL="114300" distR="114300">
            <wp:extent cx="5266690" cy="1244600"/>
            <wp:effectExtent l="0" t="0" r="10160" b="12700"/>
            <wp:docPr id="8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6"/>
                    <pic:cNvPicPr>
                      <a:picLocks noChangeAspect="1"/>
                    </pic:cNvPicPr>
                  </pic:nvPicPr>
                  <pic:blipFill>
                    <a:blip r:embed="rId36"/>
                    <a:stretch>
                      <a:fillRect/>
                    </a:stretch>
                  </pic:blipFill>
                  <pic:spPr>
                    <a:xfrm>
                      <a:off x="0" y="0"/>
                      <a:ext cx="5266690" cy="1244600"/>
                    </a:xfrm>
                    <a:prstGeom prst="rect">
                      <a:avLst/>
                    </a:prstGeom>
                    <a:noFill/>
                    <a:ln>
                      <a:noFill/>
                    </a:ln>
                  </pic:spPr>
                </pic:pic>
              </a:graphicData>
            </a:graphic>
          </wp:inline>
        </w:drawing>
      </w:r>
    </w:p>
    <w:p>
      <w:pPr>
        <w:keepNext w:val="0"/>
        <w:keepLines w:val="0"/>
        <w:pageBreakBefore w:val="0"/>
        <w:widowControl w:val="0"/>
        <w:numPr>
          <w:ilvl w:val="0"/>
          <w:numId w:val="11"/>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删除：不需要使用的目录项，可点击【删除】按钮。</w:t>
      </w:r>
    </w:p>
    <w:p>
      <w:pPr>
        <w:ind w:left="0" w:leftChars="0" w:firstLine="0" w:firstLineChars="0"/>
        <w:rPr>
          <w:rFonts w:hint="eastAsia" w:ascii="华文仿宋" w:hAnsi="华文仿宋" w:eastAsia="华文仿宋" w:cs="华文仿宋"/>
        </w:rPr>
      </w:pPr>
      <w:r>
        <w:drawing>
          <wp:inline distT="0" distB="0" distL="114300" distR="114300">
            <wp:extent cx="5266690" cy="1191260"/>
            <wp:effectExtent l="0" t="0" r="10160" b="8890"/>
            <wp:docPr id="8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7"/>
                    <pic:cNvPicPr>
                      <a:picLocks noChangeAspect="1"/>
                    </pic:cNvPicPr>
                  </pic:nvPicPr>
                  <pic:blipFill>
                    <a:blip r:embed="rId37"/>
                    <a:stretch>
                      <a:fillRect/>
                    </a:stretch>
                  </pic:blipFill>
                  <pic:spPr>
                    <a:xfrm>
                      <a:off x="0" y="0"/>
                      <a:ext cx="5266690" cy="119126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840" w:firstLineChars="300"/>
        <w:jc w:val="both"/>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3、系统全新融入了</w:t>
      </w:r>
      <w:r>
        <w:rPr>
          <w:rFonts w:hint="eastAsia" w:ascii="华文仿宋" w:hAnsi="华文仿宋" w:eastAsia="华文仿宋" w:cs="华文仿宋"/>
          <w:b/>
          <w:bCs/>
          <w:color w:val="FF0000"/>
          <w:sz w:val="28"/>
          <w:szCs w:val="28"/>
          <w:lang w:val="en-US" w:eastAsia="zh-CN"/>
        </w:rPr>
        <w:t>智能检查</w:t>
      </w:r>
      <w:r>
        <w:rPr>
          <w:rFonts w:hint="eastAsia" w:ascii="华文仿宋" w:hAnsi="华文仿宋" w:eastAsia="华文仿宋" w:cs="华文仿宋"/>
          <w:sz w:val="28"/>
          <w:szCs w:val="28"/>
          <w:lang w:val="en-US" w:eastAsia="zh-CN"/>
        </w:rPr>
        <w:t>机制，确保招标人在精心构建</w:t>
      </w:r>
      <w:r>
        <w:rPr>
          <w:rFonts w:hint="eastAsia" w:ascii="华文仿宋" w:hAnsi="华文仿宋" w:eastAsia="华文仿宋" w:cs="华文仿宋"/>
          <w:color w:val="FF0000"/>
          <w:sz w:val="28"/>
          <w:szCs w:val="28"/>
          <w:lang w:val="en-US" w:eastAsia="zh-CN"/>
        </w:rPr>
        <w:t>目录项</w:t>
      </w:r>
      <w:r>
        <w:rPr>
          <w:rFonts w:hint="eastAsia" w:ascii="华文仿宋" w:hAnsi="华文仿宋" w:eastAsia="华文仿宋" w:cs="华文仿宋"/>
          <w:sz w:val="28"/>
          <w:szCs w:val="28"/>
          <w:lang w:val="en-US" w:eastAsia="zh-CN"/>
        </w:rPr>
        <w:t>之后，可自主进行查漏补缺的便捷能力，确保每一环节不出问题。</w:t>
      </w:r>
    </w:p>
    <w:p>
      <w:pPr>
        <w:ind w:left="0" w:leftChars="0" w:firstLine="0" w:firstLineChars="0"/>
        <w:rPr>
          <w:rFonts w:hint="eastAsia" w:ascii="华文仿宋" w:hAnsi="华文仿宋" w:eastAsia="华文仿宋" w:cs="华文仿宋"/>
        </w:rPr>
      </w:pPr>
      <w:r>
        <w:drawing>
          <wp:inline distT="0" distB="0" distL="114300" distR="114300">
            <wp:extent cx="5266690" cy="2152015"/>
            <wp:effectExtent l="0" t="0" r="10160" b="635"/>
            <wp:docPr id="8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8"/>
                    <pic:cNvPicPr>
                      <a:picLocks noChangeAspect="1"/>
                    </pic:cNvPicPr>
                  </pic:nvPicPr>
                  <pic:blipFill>
                    <a:blip r:embed="rId38"/>
                    <a:stretch>
                      <a:fillRect/>
                    </a:stretch>
                  </pic:blipFill>
                  <pic:spPr>
                    <a:xfrm>
                      <a:off x="0" y="0"/>
                      <a:ext cx="5266690" cy="2152015"/>
                    </a:xfrm>
                    <a:prstGeom prst="rect">
                      <a:avLst/>
                    </a:prstGeom>
                    <a:noFill/>
                    <a:ln>
                      <a:noFill/>
                    </a:ln>
                  </pic:spPr>
                </pic:pic>
              </a:graphicData>
            </a:graphic>
          </wp:inline>
        </w:drawing>
      </w:r>
    </w:p>
    <w:p>
      <w:pPr>
        <w:pStyle w:val="4"/>
        <w:bidi w:val="0"/>
        <w:rPr>
          <w:rFonts w:hint="eastAsia" w:ascii="华文仿宋" w:hAnsi="华文仿宋" w:eastAsia="华文仿宋" w:cs="华文仿宋"/>
          <w:lang w:val="en-US" w:eastAsia="zh-CN"/>
        </w:rPr>
      </w:pPr>
      <w:bookmarkStart w:id="23" w:name="_Toc3537"/>
      <w:bookmarkStart w:id="24" w:name="_Toc24618"/>
      <w:r>
        <w:rPr>
          <w:rFonts w:hint="eastAsia" w:ascii="华文仿宋" w:hAnsi="华文仿宋" w:eastAsia="华文仿宋" w:cs="华文仿宋"/>
          <w:lang w:val="en-US" w:eastAsia="zh-CN"/>
        </w:rPr>
        <w:t>第三步：评标办法参数设置</w:t>
      </w:r>
      <w:bookmarkEnd w:id="23"/>
      <w:bookmarkEnd w:id="24"/>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both"/>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lang w:val="en-US" w:eastAsia="zh-CN"/>
        </w:rPr>
        <w:t xml:space="preserve">   </w:t>
      </w:r>
      <w:r>
        <w:rPr>
          <w:rFonts w:hint="eastAsia" w:ascii="华文仿宋" w:hAnsi="华文仿宋" w:eastAsia="华文仿宋" w:cs="华文仿宋"/>
          <w:sz w:val="28"/>
          <w:szCs w:val="28"/>
          <w:lang w:val="en-US" w:eastAsia="zh-CN"/>
        </w:rPr>
        <w:t>1、评标时评审专家的评审项。评分项与目录项通过【关联目录】功能进行绑定。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840" w:firstLineChars="300"/>
        <w:jc w:val="both"/>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2、评分项支持设定是否启用、添加自动计算项、分数计算设置操作；评分项编辑完成后在最上面菜单选择“PDF预览”， 可提前预览设定是否正确。</w:t>
      </w:r>
    </w:p>
    <w:p>
      <w:pPr>
        <w:ind w:left="0" w:leftChars="0" w:firstLine="0" w:firstLineChars="0"/>
        <w:rPr>
          <w:rFonts w:hint="eastAsia" w:ascii="华文仿宋" w:hAnsi="华文仿宋" w:eastAsia="华文仿宋" w:cs="华文仿宋"/>
        </w:rPr>
      </w:pPr>
      <w:r>
        <w:drawing>
          <wp:inline distT="0" distB="0" distL="114300" distR="114300">
            <wp:extent cx="5266690" cy="1265555"/>
            <wp:effectExtent l="0" t="0" r="10160" b="10795"/>
            <wp:docPr id="8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29"/>
                    <pic:cNvPicPr>
                      <a:picLocks noChangeAspect="1"/>
                    </pic:cNvPicPr>
                  </pic:nvPicPr>
                  <pic:blipFill>
                    <a:blip r:embed="rId39"/>
                    <a:stretch>
                      <a:fillRect/>
                    </a:stretch>
                  </pic:blipFill>
                  <pic:spPr>
                    <a:xfrm>
                      <a:off x="0" y="0"/>
                      <a:ext cx="5266690" cy="1265555"/>
                    </a:xfrm>
                    <a:prstGeom prst="rect">
                      <a:avLst/>
                    </a:prstGeom>
                    <a:noFill/>
                    <a:ln>
                      <a:noFill/>
                    </a:ln>
                  </pic:spPr>
                </pic:pic>
              </a:graphicData>
            </a:graphic>
          </wp:inline>
        </w:drawing>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Chars="0" w:firstLine="560" w:firstLineChars="200"/>
        <w:jc w:val="left"/>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color w:val="FF0000"/>
          <w:sz w:val="28"/>
          <w:szCs w:val="28"/>
          <w:lang w:val="en-US" w:eastAsia="zh-CN"/>
        </w:rPr>
        <w:t>关联目录</w:t>
      </w:r>
      <w:r>
        <w:rPr>
          <w:rFonts w:hint="eastAsia" w:ascii="华文仿宋" w:hAnsi="华文仿宋" w:eastAsia="华文仿宋" w:cs="华文仿宋"/>
          <w:sz w:val="28"/>
          <w:szCs w:val="28"/>
          <w:lang w:val="en-US" w:eastAsia="zh-CN"/>
        </w:rPr>
        <w:t>：按照规定，所有评分项</w:t>
      </w:r>
      <w:r>
        <w:rPr>
          <w:rFonts w:hint="eastAsia" w:ascii="华文仿宋" w:hAnsi="华文仿宋" w:eastAsia="华文仿宋" w:cs="华文仿宋"/>
          <w:b/>
          <w:bCs/>
          <w:color w:val="FF0000"/>
          <w:sz w:val="28"/>
          <w:szCs w:val="28"/>
          <w:lang w:val="en-US" w:eastAsia="zh-CN"/>
        </w:rPr>
        <w:t>应该</w:t>
      </w:r>
      <w:r>
        <w:rPr>
          <w:rFonts w:hint="eastAsia" w:ascii="华文仿宋" w:hAnsi="华文仿宋" w:eastAsia="华文仿宋" w:cs="华文仿宋"/>
          <w:sz w:val="28"/>
          <w:szCs w:val="28"/>
          <w:lang w:val="en-US" w:eastAsia="zh-CN"/>
        </w:rPr>
        <w:t>要关联目录项。用户点击【关联目录】按钮，在弹出页面中勾选需要关联的目录项。</w:t>
      </w:r>
    </w:p>
    <w:p>
      <w:pPr>
        <w:ind w:left="0" w:leftChars="0" w:firstLine="0" w:firstLineChars="0"/>
        <w:rPr>
          <w:rFonts w:hint="eastAsia" w:ascii="华文仿宋" w:hAnsi="华文仿宋" w:eastAsia="华文仿宋" w:cs="华文仿宋"/>
        </w:rPr>
      </w:pPr>
      <w:r>
        <w:drawing>
          <wp:inline distT="0" distB="0" distL="114300" distR="114300">
            <wp:extent cx="5266690" cy="1703705"/>
            <wp:effectExtent l="0" t="0" r="10160" b="10795"/>
            <wp:docPr id="9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0"/>
                    <pic:cNvPicPr>
                      <a:picLocks noChangeAspect="1"/>
                    </pic:cNvPicPr>
                  </pic:nvPicPr>
                  <pic:blipFill>
                    <a:blip r:embed="rId40"/>
                    <a:stretch>
                      <a:fillRect/>
                    </a:stretch>
                  </pic:blipFill>
                  <pic:spPr>
                    <a:xfrm>
                      <a:off x="0" y="0"/>
                      <a:ext cx="5266690" cy="1703705"/>
                    </a:xfrm>
                    <a:prstGeom prst="rect">
                      <a:avLst/>
                    </a:prstGeom>
                    <a:noFill/>
                    <a:ln>
                      <a:noFill/>
                    </a:ln>
                  </pic:spPr>
                </pic:pic>
              </a:graphicData>
            </a:graphic>
          </wp:inline>
        </w:drawing>
      </w:r>
    </w:p>
    <w:p>
      <w:pPr>
        <w:ind w:left="0" w:leftChars="0" w:firstLine="0" w:firstLineChars="0"/>
        <w:rPr>
          <w:rFonts w:hint="eastAsia" w:ascii="华文仿宋" w:hAnsi="华文仿宋" w:eastAsia="华文仿宋" w:cs="华文仿宋"/>
        </w:rPr>
      </w:pPr>
    </w:p>
    <w:p>
      <w:pPr>
        <w:keepNext w:val="0"/>
        <w:keepLines w:val="0"/>
        <w:pageBreakBefore w:val="0"/>
        <w:widowControl w:val="0"/>
        <w:numPr>
          <w:ilvl w:val="0"/>
          <w:numId w:val="12"/>
        </w:numPr>
        <w:kinsoku/>
        <w:wordWrap/>
        <w:overflowPunct/>
        <w:topLinePunct w:val="0"/>
        <w:autoSpaceDE/>
        <w:autoSpaceDN/>
        <w:bidi w:val="0"/>
        <w:adjustRightInd/>
        <w:snapToGrid/>
        <w:ind w:left="0" w:leftChars="0" w:firstLine="560" w:firstLineChars="200"/>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分数计算设置：针对报价项，招标人（招标代理）可点击【分数计算设置】来查看评标基准价和报价得分辅助计算规则。</w:t>
      </w:r>
      <w:r>
        <w:drawing>
          <wp:inline distT="0" distB="0" distL="114300" distR="114300">
            <wp:extent cx="5257165" cy="608965"/>
            <wp:effectExtent l="0" t="0" r="635" b="635"/>
            <wp:docPr id="9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1"/>
                    <pic:cNvPicPr>
                      <a:picLocks noChangeAspect="1"/>
                    </pic:cNvPicPr>
                  </pic:nvPicPr>
                  <pic:blipFill>
                    <a:blip r:embed="rId41"/>
                    <a:stretch>
                      <a:fillRect/>
                    </a:stretch>
                  </pic:blipFill>
                  <pic:spPr>
                    <a:xfrm>
                      <a:off x="0" y="0"/>
                      <a:ext cx="5257165" cy="608965"/>
                    </a:xfrm>
                    <a:prstGeom prst="rect">
                      <a:avLst/>
                    </a:prstGeom>
                    <a:noFill/>
                    <a:ln>
                      <a:noFill/>
                    </a:ln>
                  </pic:spPr>
                </pic:pic>
              </a:graphicData>
            </a:graphic>
          </wp:inline>
        </w:drawing>
      </w:r>
    </w:p>
    <w:p>
      <w:pPr>
        <w:keepNext w:val="0"/>
        <w:keepLines w:val="0"/>
        <w:pageBreakBefore w:val="0"/>
        <w:widowControl w:val="0"/>
        <w:numPr>
          <w:ilvl w:val="0"/>
          <w:numId w:val="10"/>
        </w:numPr>
        <w:kinsoku/>
        <w:wordWrap/>
        <w:overflowPunct/>
        <w:topLinePunct w:val="0"/>
        <w:autoSpaceDE/>
        <w:autoSpaceDN/>
        <w:bidi w:val="0"/>
        <w:adjustRightInd/>
        <w:snapToGrid/>
        <w:spacing w:line="360" w:lineRule="auto"/>
        <w:ind w:left="0" w:leftChars="0" w:firstLine="560" w:firstLineChars="200"/>
        <w:jc w:val="both"/>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系统全新融入了</w:t>
      </w:r>
      <w:r>
        <w:rPr>
          <w:rFonts w:hint="eastAsia" w:ascii="华文仿宋" w:hAnsi="华文仿宋" w:eastAsia="华文仿宋" w:cs="华文仿宋"/>
          <w:b/>
          <w:bCs/>
          <w:color w:val="FF0000"/>
          <w:sz w:val="28"/>
          <w:szCs w:val="28"/>
          <w:lang w:val="en-US" w:eastAsia="zh-CN"/>
        </w:rPr>
        <w:t>智能检查</w:t>
      </w:r>
      <w:r>
        <w:rPr>
          <w:rFonts w:hint="eastAsia" w:ascii="华文仿宋" w:hAnsi="华文仿宋" w:eastAsia="华文仿宋" w:cs="华文仿宋"/>
          <w:sz w:val="28"/>
          <w:szCs w:val="28"/>
          <w:lang w:val="en-US" w:eastAsia="zh-CN"/>
        </w:rPr>
        <w:t>机制，确保招标人在精心构建评分项之后，可自主进行查漏补缺的便捷能力，确保每一环节不出问题。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（红色：必须解决问题；橙色：提醒）</w:t>
      </w:r>
    </w:p>
    <w:p>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华文仿宋" w:hAnsi="华文仿宋" w:eastAsia="华文仿宋" w:cs="华文仿宋"/>
        </w:rPr>
      </w:pPr>
      <w:r>
        <w:drawing>
          <wp:inline distT="0" distB="0" distL="114300" distR="114300">
            <wp:extent cx="5266690" cy="2012315"/>
            <wp:effectExtent l="0" t="0" r="10160" b="6985"/>
            <wp:docPr id="9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2"/>
                    <pic:cNvPicPr>
                      <a:picLocks noChangeAspect="1"/>
                    </pic:cNvPicPr>
                  </pic:nvPicPr>
                  <pic:blipFill>
                    <a:blip r:embed="rId42"/>
                    <a:stretch>
                      <a:fillRect/>
                    </a:stretch>
                  </pic:blipFill>
                  <pic:spPr>
                    <a:xfrm>
                      <a:off x="0" y="0"/>
                      <a:ext cx="5266690" cy="2012315"/>
                    </a:xfrm>
                    <a:prstGeom prst="rect">
                      <a:avLst/>
                    </a:prstGeom>
                    <a:noFill/>
                    <a:ln>
                      <a:noFill/>
                    </a:ln>
                  </pic:spPr>
                </pic:pic>
              </a:graphicData>
            </a:graphic>
          </wp:inline>
        </w:drawing>
      </w:r>
    </w:p>
    <w:p>
      <w:pPr>
        <w:pStyle w:val="3"/>
        <w:numPr>
          <w:ilvl w:val="1"/>
          <w:numId w:val="0"/>
        </w:numPr>
        <w:bidi w:val="0"/>
        <w:ind w:leftChars="0"/>
        <w:rPr>
          <w:rFonts w:hint="eastAsia" w:ascii="华文仿宋" w:hAnsi="华文仿宋" w:eastAsia="华文仿宋" w:cs="华文仿宋"/>
          <w:lang w:val="en-US" w:eastAsia="zh-CN"/>
        </w:rPr>
      </w:pPr>
      <w:bookmarkStart w:id="25" w:name="_Toc10813"/>
      <w:bookmarkStart w:id="26" w:name="_Toc20788"/>
      <w:r>
        <w:rPr>
          <w:rFonts w:hint="eastAsia" w:ascii="华文仿宋" w:hAnsi="华文仿宋" w:eastAsia="华文仿宋" w:cs="华文仿宋"/>
          <w:lang w:val="en-US" w:eastAsia="zh-CN"/>
        </w:rPr>
        <w:t>（五）编制采购书</w:t>
      </w:r>
      <w:bookmarkEnd w:id="25"/>
      <w:bookmarkEnd w:id="26"/>
    </w:p>
    <w:p>
      <w:pPr>
        <w:ind w:left="0" w:leftChars="0" w:firstLine="560" w:firstLineChars="200"/>
        <w:rPr>
          <w:rFonts w:hint="eastAsia" w:ascii="华文仿宋" w:hAnsi="华文仿宋" w:eastAsia="华文仿宋" w:cs="华文仿宋"/>
          <w:sz w:val="28"/>
          <w:szCs w:val="28"/>
          <w:lang w:val="en-US" w:eastAsia="zh-CN"/>
        </w:rPr>
      </w:pPr>
      <w:r>
        <w:rPr>
          <w:rFonts w:hint="eastAsia" w:ascii="华文仿宋" w:hAnsi="华文仿宋" w:eastAsia="华文仿宋" w:cs="华文仿宋"/>
          <w:sz w:val="28"/>
          <w:szCs w:val="28"/>
          <w:lang w:val="en-US" w:eastAsia="zh-CN"/>
        </w:rPr>
        <w:t>点击“选择文件”，选择需要上传的采购文件。</w:t>
      </w:r>
    </w:p>
    <w:p>
      <w:pPr>
        <w:ind w:left="0" w:leftChars="0" w:firstLine="0" w:firstLineChars="0"/>
        <w:rPr>
          <w:rFonts w:hint="eastAsia" w:ascii="华文仿宋" w:hAnsi="华文仿宋" w:eastAsia="华文仿宋" w:cs="华文仿宋"/>
          <w:sz w:val="28"/>
          <w:szCs w:val="28"/>
          <w:lang w:val="en-US" w:eastAsia="zh-CN"/>
        </w:rPr>
      </w:pPr>
      <w:r>
        <w:drawing>
          <wp:inline distT="0" distB="0" distL="114300" distR="114300">
            <wp:extent cx="5259070" cy="1982470"/>
            <wp:effectExtent l="0" t="0" r="17780" b="17780"/>
            <wp:docPr id="9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3"/>
                    <pic:cNvPicPr>
                      <a:picLocks noChangeAspect="1"/>
                    </pic:cNvPicPr>
                  </pic:nvPicPr>
                  <pic:blipFill>
                    <a:blip r:embed="rId43"/>
                    <a:stretch>
                      <a:fillRect/>
                    </a:stretch>
                  </pic:blipFill>
                  <pic:spPr>
                    <a:xfrm>
                      <a:off x="0" y="0"/>
                      <a:ext cx="5259070" cy="1982470"/>
                    </a:xfrm>
                    <a:prstGeom prst="rect">
                      <a:avLst/>
                    </a:prstGeom>
                    <a:noFill/>
                    <a:ln>
                      <a:noFill/>
                    </a:ln>
                  </pic:spPr>
                </pic:pic>
              </a:graphicData>
            </a:graphic>
          </wp:inline>
        </w:drawing>
      </w:r>
    </w:p>
    <w:p>
      <w:pPr>
        <w:pStyle w:val="4"/>
        <w:keepNext/>
        <w:keepLines/>
        <w:pageBreakBefore w:val="0"/>
        <w:widowControl w:val="0"/>
        <w:kinsoku/>
        <w:wordWrap/>
        <w:overflowPunct/>
        <w:topLinePunct w:val="0"/>
        <w:autoSpaceDE/>
        <w:autoSpaceDN/>
        <w:bidi w:val="0"/>
        <w:adjustRightInd/>
        <w:snapToGrid/>
        <w:spacing w:before="140" w:after="140" w:line="413" w:lineRule="auto"/>
        <w:textAlignment w:val="auto"/>
        <w:rPr>
          <w:rFonts w:hint="default" w:ascii="Arial" w:hAnsi="Arial" w:eastAsia="宋体" w:cstheme="minorBidi"/>
          <w:b w:val="0"/>
          <w:bCs w:val="0"/>
          <w:kern w:val="2"/>
          <w:sz w:val="21"/>
          <w:szCs w:val="21"/>
          <w:lang w:val="en-US" w:eastAsia="zh-CN" w:bidi="ar-SA"/>
        </w:rPr>
      </w:pPr>
      <w:bookmarkStart w:id="27" w:name="_Toc25046"/>
      <w:r>
        <w:rPr>
          <w:rFonts w:hint="eastAsia" w:ascii="华文仿宋" w:hAnsi="华文仿宋" w:eastAsia="华文仿宋" w:cs="华文仿宋"/>
          <w:lang w:val="en-US" w:eastAsia="zh-CN"/>
        </w:rPr>
        <w:t>其他文件</w:t>
      </w:r>
      <w:bookmarkEnd w:id="27"/>
    </w:p>
    <w:p>
      <w:pPr>
        <w:pStyle w:val="22"/>
        <w:bidi w:val="0"/>
        <w:jc w:val="left"/>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 xml:space="preserve">     若招标代理对招标文件还有其他补充文件需要上传，可以在【招标（采购）文件】的【其他文件】中进行上传。</w:t>
      </w:r>
    </w:p>
    <w:p>
      <w:pPr>
        <w:ind w:left="0" w:leftChars="0" w:firstLine="0" w:firstLineChars="0"/>
      </w:pPr>
      <w:r>
        <w:drawing>
          <wp:inline distT="0" distB="0" distL="114300" distR="114300">
            <wp:extent cx="5263515" cy="1406525"/>
            <wp:effectExtent l="0" t="0" r="13335" b="3175"/>
            <wp:docPr id="17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44"/>
                    <pic:cNvPicPr>
                      <a:picLocks noChangeAspect="1"/>
                    </pic:cNvPicPr>
                  </pic:nvPicPr>
                  <pic:blipFill>
                    <a:blip r:embed="rId44"/>
                    <a:stretch>
                      <a:fillRect/>
                    </a:stretch>
                  </pic:blipFill>
                  <pic:spPr>
                    <a:xfrm>
                      <a:off x="0" y="0"/>
                      <a:ext cx="5263515" cy="1406525"/>
                    </a:xfrm>
                    <a:prstGeom prst="rect">
                      <a:avLst/>
                    </a:prstGeom>
                    <a:noFill/>
                    <a:ln>
                      <a:noFill/>
                    </a:ln>
                  </pic:spPr>
                </pic:pic>
              </a:graphicData>
            </a:graphic>
          </wp:inline>
        </w:drawing>
      </w:r>
    </w:p>
    <w:p>
      <w:pPr>
        <w:pStyle w:val="3"/>
        <w:numPr>
          <w:ilvl w:val="1"/>
          <w:numId w:val="0"/>
        </w:numPr>
        <w:bidi w:val="0"/>
        <w:ind w:leftChars="0"/>
        <w:rPr>
          <w:rFonts w:hint="default" w:ascii="华文仿宋" w:hAnsi="华文仿宋" w:eastAsia="华文仿宋" w:cs="华文仿宋"/>
          <w:lang w:val="en-US" w:eastAsia="zh-CN"/>
        </w:rPr>
      </w:pPr>
      <w:bookmarkStart w:id="28" w:name="_Toc16605"/>
      <w:r>
        <w:rPr>
          <w:rFonts w:hint="eastAsia" w:ascii="华文仿宋" w:hAnsi="华文仿宋" w:eastAsia="华文仿宋" w:cs="华文仿宋"/>
          <w:lang w:val="en-US" w:eastAsia="zh-CN"/>
        </w:rPr>
        <w:t>（六）文件汇总</w:t>
      </w:r>
      <w:bookmarkEnd w:id="28"/>
    </w:p>
    <w:p>
      <w:pPr>
        <w:rPr>
          <w:rFonts w:hint="eastAsia" w:ascii="华文仿宋" w:hAnsi="华文仿宋" w:eastAsia="华文仿宋" w:cs="华文仿宋"/>
          <w:kern w:val="2"/>
          <w:sz w:val="28"/>
          <w:szCs w:val="28"/>
          <w:lang w:val="en-US" w:eastAsia="zh-CN" w:bidi="ar-SA"/>
          <w14:ligatures w14:val="standardContextual"/>
        </w:rPr>
      </w:pPr>
      <w:r>
        <w:rPr>
          <w:rFonts w:hint="eastAsia" w:ascii="Arial" w:hAnsi="Arial" w:eastAsia="宋体" w:cstheme="minorBidi"/>
          <w:b w:val="0"/>
          <w:bCs w:val="0"/>
          <w:kern w:val="2"/>
          <w:sz w:val="21"/>
          <w:szCs w:val="21"/>
          <w:lang w:val="en-US" w:eastAsia="zh-CN" w:bidi="ar-SA"/>
        </w:rPr>
        <w:t xml:space="preserve">  </w:t>
      </w:r>
      <w:r>
        <w:rPr>
          <w:rFonts w:hint="eastAsia" w:ascii="华文仿宋" w:hAnsi="华文仿宋" w:eastAsia="华文仿宋" w:cs="华文仿宋"/>
          <w:kern w:val="2"/>
          <w:sz w:val="28"/>
          <w:szCs w:val="28"/>
          <w:lang w:val="en-US" w:eastAsia="zh-CN" w:bidi="ar-SA"/>
          <w14:ligatures w14:val="standardContextual"/>
        </w:rPr>
        <w:t xml:space="preserve"> 招标人将招标文件所有内容编制完成后，可点击【文件汇总】查看所有附件生成时间、生成状态、预览生成文件，生成文件检查无误后，可进行整个招标文件提交。</w:t>
      </w:r>
    </w:p>
    <w:p>
      <w:r>
        <w:drawing>
          <wp:inline distT="0" distB="0" distL="114300" distR="114300">
            <wp:extent cx="5266690" cy="1098550"/>
            <wp:effectExtent l="0" t="0" r="10160" b="6350"/>
            <wp:docPr id="9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4"/>
                    <pic:cNvPicPr>
                      <a:picLocks noChangeAspect="1"/>
                    </pic:cNvPicPr>
                  </pic:nvPicPr>
                  <pic:blipFill>
                    <a:blip r:embed="rId45"/>
                    <a:stretch>
                      <a:fillRect/>
                    </a:stretch>
                  </pic:blipFill>
                  <pic:spPr>
                    <a:xfrm>
                      <a:off x="0" y="0"/>
                      <a:ext cx="5266690" cy="1098550"/>
                    </a:xfrm>
                    <a:prstGeom prst="rect">
                      <a:avLst/>
                    </a:prstGeom>
                    <a:noFill/>
                    <a:ln>
                      <a:noFill/>
                    </a:ln>
                  </pic:spPr>
                </pic:pic>
              </a:graphicData>
            </a:graphic>
          </wp:inline>
        </w:drawing>
      </w:r>
    </w:p>
    <w:p>
      <w:pPr>
        <w:pStyle w:val="3"/>
        <w:numPr>
          <w:ilvl w:val="1"/>
          <w:numId w:val="0"/>
        </w:numPr>
        <w:bidi w:val="0"/>
        <w:ind w:leftChars="0"/>
        <w:rPr>
          <w:rFonts w:hint="eastAsia" w:eastAsia="宋体"/>
          <w:lang w:val="en-US" w:eastAsia="zh-CN"/>
        </w:rPr>
      </w:pPr>
      <w:bookmarkStart w:id="29" w:name="_Toc31860"/>
      <w:r>
        <w:rPr>
          <w:rFonts w:hint="eastAsia" w:ascii="华文仿宋" w:hAnsi="华文仿宋" w:eastAsia="华文仿宋" w:cs="华文仿宋"/>
          <w:lang w:val="en-US" w:eastAsia="zh-CN"/>
        </w:rPr>
        <w:t>（七）发布公告</w:t>
      </w:r>
      <w:bookmarkEnd w:id="29"/>
    </w:p>
    <w:p>
      <w:pPr>
        <w:keepNext w:val="0"/>
        <w:keepLines w:val="0"/>
        <w:pageBreakBefore w:val="0"/>
        <w:widowControl w:val="0"/>
        <w:kinsoku/>
        <w:wordWrap/>
        <w:overflowPunct/>
        <w:topLinePunct w:val="0"/>
        <w:autoSpaceDE/>
        <w:autoSpaceDN/>
        <w:bidi w:val="0"/>
        <w:adjustRightInd/>
        <w:snapToGrid/>
        <w:spacing w:line="460" w:lineRule="exact"/>
        <w:ind w:left="0" w:leftChars="0" w:firstLine="560" w:firstLineChars="200"/>
        <w:jc w:val="left"/>
        <w:textAlignment w:val="auto"/>
      </w:pPr>
      <w:r>
        <w:rPr>
          <w:rFonts w:hint="eastAsia" w:ascii="华文仿宋" w:hAnsi="华文仿宋" w:eastAsia="华文仿宋" w:cs="华文仿宋"/>
          <w:kern w:val="2"/>
          <w:sz w:val="28"/>
          <w:szCs w:val="28"/>
          <w:lang w:val="en-US" w:eastAsia="zh-CN" w:bidi="ar-SA"/>
          <w14:ligatures w14:val="standardContextual"/>
        </w:rPr>
        <w:t>1、点击“发布公告”按钮，可以预览查看招标公告详细信息。</w:t>
      </w:r>
    </w:p>
    <w:p>
      <w:pPr>
        <w:pageBreakBefore w:val="0"/>
        <w:widowControl w:val="0"/>
        <w:kinsoku/>
        <w:wordWrap/>
        <w:overflowPunct/>
        <w:autoSpaceDE/>
        <w:autoSpaceDN/>
        <w:bidi w:val="0"/>
        <w:adjustRightInd/>
        <w:snapToGrid/>
        <w:ind w:left="0" w:leftChars="0" w:firstLine="0" w:firstLineChars="0"/>
        <w:rPr>
          <w:rFonts w:hint="eastAsia"/>
          <w:sz w:val="21"/>
          <w:szCs w:val="21"/>
          <w:lang w:eastAsia="zh-CN"/>
        </w:rPr>
      </w:pPr>
      <w:r>
        <w:drawing>
          <wp:inline distT="0" distB="0" distL="114300" distR="114300">
            <wp:extent cx="5266690" cy="2536825"/>
            <wp:effectExtent l="0" t="0" r="10160" b="15875"/>
            <wp:docPr id="9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5"/>
                    <pic:cNvPicPr>
                      <a:picLocks noChangeAspect="1"/>
                    </pic:cNvPicPr>
                  </pic:nvPicPr>
                  <pic:blipFill>
                    <a:blip r:embed="rId46"/>
                    <a:stretch>
                      <a:fillRect/>
                    </a:stretch>
                  </pic:blipFill>
                  <pic:spPr>
                    <a:xfrm>
                      <a:off x="0" y="0"/>
                      <a:ext cx="5266690" cy="2536825"/>
                    </a:xfrm>
                    <a:prstGeom prst="rect">
                      <a:avLst/>
                    </a:prstGeom>
                    <a:noFill/>
                    <a:ln>
                      <a:noFill/>
                    </a:ln>
                  </pic:spPr>
                </pic:pic>
              </a:graphicData>
            </a:graphic>
          </wp:inline>
        </w:drawing>
      </w:r>
    </w:p>
    <w:p>
      <w:pPr>
        <w:pStyle w:val="22"/>
        <w:pageBreakBefore w:val="0"/>
        <w:widowControl w:val="0"/>
        <w:kinsoku/>
        <w:wordWrap/>
        <w:overflowPunct/>
        <w:autoSpaceDE/>
        <w:autoSpaceDN/>
        <w:bidi w:val="0"/>
        <w:adjustRightInd/>
        <w:snapToGrid/>
        <w:spacing w:before="156" w:after="156"/>
        <w:ind w:firstLine="240" w:firstLineChars="100"/>
        <w:jc w:val="both"/>
        <w:rPr>
          <w:rFonts w:hint="eastAsia"/>
          <w:color w:val="FF0000"/>
          <w:sz w:val="24"/>
          <w:szCs w:val="24"/>
          <w:lang w:eastAsia="zh-CN"/>
        </w:rPr>
      </w:pPr>
      <w:r>
        <w:rPr>
          <w:rFonts w:hint="eastAsia"/>
          <w:color w:val="FF0000"/>
          <w:sz w:val="24"/>
          <w:szCs w:val="24"/>
          <w:lang w:eastAsia="zh-CN"/>
        </w:rPr>
        <w:t>注：</w:t>
      </w:r>
    </w:p>
    <w:p>
      <w:pPr>
        <w:pStyle w:val="22"/>
        <w:pageBreakBefore w:val="0"/>
        <w:widowControl w:val="0"/>
        <w:kinsoku/>
        <w:wordWrap/>
        <w:overflowPunct/>
        <w:autoSpaceDE/>
        <w:autoSpaceDN/>
        <w:bidi w:val="0"/>
        <w:adjustRightInd/>
        <w:snapToGrid/>
        <w:spacing w:before="156" w:after="156"/>
        <w:ind w:firstLine="240" w:firstLineChars="100"/>
        <w:jc w:val="both"/>
        <w:rPr>
          <w:rFonts w:hint="eastAsia"/>
          <w:color w:val="FF0000"/>
          <w:sz w:val="24"/>
          <w:szCs w:val="24"/>
          <w:lang w:val="en-US" w:eastAsia="zh-CN"/>
        </w:rPr>
      </w:pPr>
      <w:r>
        <w:rPr>
          <w:rFonts w:hint="eastAsia"/>
          <w:color w:val="FF0000"/>
          <w:sz w:val="24"/>
          <w:szCs w:val="24"/>
          <w:lang w:val="en-US" w:eastAsia="zh-CN"/>
        </w:rPr>
        <w:t>1）、</w:t>
      </w:r>
      <w:r>
        <w:rPr>
          <w:rFonts w:hint="eastAsia"/>
          <w:color w:val="FF0000"/>
          <w:sz w:val="24"/>
          <w:szCs w:val="24"/>
          <w:lang w:eastAsia="zh-CN"/>
        </w:rPr>
        <w:t>提交审核前需先完成</w:t>
      </w:r>
      <w:r>
        <w:rPr>
          <w:rFonts w:hint="eastAsia"/>
          <w:color w:val="FF0000"/>
          <w:sz w:val="24"/>
          <w:szCs w:val="24"/>
          <w:lang w:val="en-US" w:eastAsia="zh-CN"/>
        </w:rPr>
        <w:t>公告签章、PDF招标文件签章和ztbml招标文件的生成；</w:t>
      </w:r>
    </w:p>
    <w:p>
      <w:pPr>
        <w:pStyle w:val="22"/>
        <w:pageBreakBefore w:val="0"/>
        <w:widowControl w:val="0"/>
        <w:numPr>
          <w:ilvl w:val="0"/>
          <w:numId w:val="0"/>
        </w:numPr>
        <w:kinsoku/>
        <w:wordWrap/>
        <w:overflowPunct/>
        <w:autoSpaceDE/>
        <w:autoSpaceDN/>
        <w:bidi w:val="0"/>
        <w:adjustRightInd/>
        <w:snapToGrid/>
        <w:spacing w:before="156" w:after="156"/>
        <w:ind w:firstLine="240" w:firstLineChars="100"/>
        <w:jc w:val="both"/>
        <w:rPr>
          <w:rFonts w:hint="eastAsia"/>
          <w:color w:val="FF0000"/>
          <w:sz w:val="24"/>
          <w:szCs w:val="24"/>
          <w:lang w:val="en-US" w:eastAsia="zh-CN"/>
        </w:rPr>
      </w:pPr>
      <w:r>
        <w:rPr>
          <w:rFonts w:hint="eastAsia"/>
          <w:color w:val="FF0000"/>
          <w:sz w:val="24"/>
          <w:szCs w:val="24"/>
          <w:lang w:val="en-US" w:eastAsia="zh-CN"/>
        </w:rPr>
        <w:t>2）、生成ztbml招标文件前需先提交招标文件。</w:t>
      </w:r>
    </w:p>
    <w:p>
      <w:pPr>
        <w:pStyle w:val="22"/>
        <w:pageBreakBefore w:val="0"/>
        <w:widowControl w:val="0"/>
        <w:numPr>
          <w:ilvl w:val="0"/>
          <w:numId w:val="0"/>
        </w:numPr>
        <w:kinsoku/>
        <w:wordWrap/>
        <w:overflowPunct/>
        <w:autoSpaceDE/>
        <w:autoSpaceDN/>
        <w:bidi w:val="0"/>
        <w:adjustRightInd/>
        <w:snapToGrid/>
        <w:spacing w:before="156" w:after="156"/>
        <w:ind w:firstLine="240" w:firstLineChars="100"/>
        <w:jc w:val="both"/>
        <w:rPr>
          <w:rFonts w:hint="default"/>
          <w:color w:val="FF0000"/>
          <w:sz w:val="24"/>
          <w:szCs w:val="24"/>
          <w:lang w:val="en-US" w:eastAsia="zh-CN"/>
        </w:rPr>
      </w:pPr>
      <w:r>
        <w:rPr>
          <w:rFonts w:hint="eastAsia"/>
          <w:color w:val="FF0000"/>
          <w:sz w:val="24"/>
          <w:szCs w:val="24"/>
          <w:lang w:val="en-US" w:eastAsia="zh-CN"/>
        </w:rPr>
        <w:t>3）、公告与招标文件签章后，需等待监督人签章审核通过后公告才见网。</w:t>
      </w:r>
    </w:p>
    <w:p>
      <w:pPr>
        <w:pStyle w:val="22"/>
        <w:pageBreakBefore w:val="0"/>
        <w:widowControl w:val="0"/>
        <w:kinsoku/>
        <w:wordWrap/>
        <w:overflowPunct/>
        <w:autoSpaceDE/>
        <w:autoSpaceDN/>
        <w:bidi w:val="0"/>
        <w:adjustRightInd/>
        <w:snapToGrid/>
        <w:spacing w:before="156" w:after="156"/>
        <w:jc w:val="both"/>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2、点击“招标文件”按钮。进入招标文件生成页面。</w:t>
      </w:r>
    </w:p>
    <w:p>
      <w:pPr>
        <w:pStyle w:val="22"/>
        <w:pageBreakBefore w:val="0"/>
        <w:widowControl w:val="0"/>
        <w:kinsoku/>
        <w:wordWrap/>
        <w:overflowPunct/>
        <w:autoSpaceDE/>
        <w:autoSpaceDN/>
        <w:bidi w:val="0"/>
        <w:adjustRightInd/>
        <w:snapToGrid/>
        <w:spacing w:before="156" w:after="156"/>
        <w:jc w:val="both"/>
        <w:rPr>
          <w:sz w:val="21"/>
          <w:szCs w:val="21"/>
        </w:rPr>
      </w:pPr>
      <w:r>
        <w:drawing>
          <wp:inline distT="0" distB="0" distL="114300" distR="114300">
            <wp:extent cx="5267325" cy="2033905"/>
            <wp:effectExtent l="0" t="0" r="9525" b="4445"/>
            <wp:docPr id="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
                    <pic:cNvPicPr>
                      <a:picLocks noChangeAspect="1"/>
                    </pic:cNvPicPr>
                  </pic:nvPicPr>
                  <pic:blipFill>
                    <a:blip r:embed="rId47"/>
                    <a:stretch>
                      <a:fillRect/>
                    </a:stretch>
                  </pic:blipFill>
                  <pic:spPr>
                    <a:xfrm>
                      <a:off x="0" y="0"/>
                      <a:ext cx="5267325" cy="2033905"/>
                    </a:xfrm>
                    <a:prstGeom prst="rect">
                      <a:avLst/>
                    </a:prstGeom>
                    <a:noFill/>
                    <a:ln>
                      <a:noFill/>
                    </a:ln>
                  </pic:spPr>
                </pic:pic>
              </a:graphicData>
            </a:graphic>
          </wp:inline>
        </w:drawing>
      </w:r>
    </w:p>
    <w:p>
      <w:pPr>
        <w:pStyle w:val="22"/>
        <w:pageBreakBefore w:val="0"/>
        <w:widowControl w:val="0"/>
        <w:kinsoku/>
        <w:wordWrap/>
        <w:overflowPunct/>
        <w:autoSpaceDE/>
        <w:autoSpaceDN/>
        <w:bidi w:val="0"/>
        <w:adjustRightInd/>
        <w:snapToGrid/>
        <w:spacing w:before="156" w:after="156"/>
        <w:jc w:val="both"/>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3、点击“重新签章”获取最新PDF招标文件进行签章，点击“生成文件”生成ztbml招标文件。</w:t>
      </w:r>
    </w:p>
    <w:p>
      <w:pPr>
        <w:pStyle w:val="22"/>
        <w:pageBreakBefore w:val="0"/>
        <w:widowControl w:val="0"/>
        <w:kinsoku/>
        <w:wordWrap/>
        <w:overflowPunct/>
        <w:autoSpaceDE/>
        <w:autoSpaceDN/>
        <w:bidi w:val="0"/>
        <w:adjustRightInd/>
        <w:snapToGrid/>
        <w:spacing w:before="156" w:after="156"/>
        <w:jc w:val="both"/>
        <w:rPr>
          <w:sz w:val="21"/>
          <w:szCs w:val="21"/>
        </w:rPr>
      </w:pPr>
      <w:r>
        <w:drawing>
          <wp:inline distT="0" distB="0" distL="114300" distR="114300">
            <wp:extent cx="5273675" cy="2006600"/>
            <wp:effectExtent l="0" t="0" r="3175" b="12700"/>
            <wp:docPr id="6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4"/>
                    <pic:cNvPicPr>
                      <a:picLocks noChangeAspect="1"/>
                    </pic:cNvPicPr>
                  </pic:nvPicPr>
                  <pic:blipFill>
                    <a:blip r:embed="rId48"/>
                    <a:stretch>
                      <a:fillRect/>
                    </a:stretch>
                  </pic:blipFill>
                  <pic:spPr>
                    <a:xfrm>
                      <a:off x="0" y="0"/>
                      <a:ext cx="5273675" cy="2006600"/>
                    </a:xfrm>
                    <a:prstGeom prst="rect">
                      <a:avLst/>
                    </a:prstGeom>
                    <a:noFill/>
                    <a:ln>
                      <a:noFill/>
                    </a:ln>
                  </pic:spPr>
                </pic:pic>
              </a:graphicData>
            </a:graphic>
          </wp:inline>
        </w:drawing>
      </w:r>
    </w:p>
    <w:p>
      <w:pPr>
        <w:pStyle w:val="22"/>
        <w:pageBreakBefore w:val="0"/>
        <w:widowControl w:val="0"/>
        <w:kinsoku/>
        <w:wordWrap/>
        <w:overflowPunct/>
        <w:autoSpaceDE/>
        <w:autoSpaceDN/>
        <w:bidi w:val="0"/>
        <w:adjustRightInd/>
        <w:snapToGrid/>
        <w:spacing w:before="156" w:after="156"/>
        <w:jc w:val="both"/>
        <w:rPr>
          <w:rFonts w:hint="default"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4、招标文件（pdf版）生成成功和生成ztbml招标文件后，点击提交“提交”按钮，提交招标公告和招标文件至监督人审核。</w:t>
      </w:r>
    </w:p>
    <w:p>
      <w:pPr>
        <w:pStyle w:val="22"/>
        <w:pageBreakBefore w:val="0"/>
        <w:widowControl w:val="0"/>
        <w:kinsoku/>
        <w:wordWrap/>
        <w:overflowPunct/>
        <w:autoSpaceDE/>
        <w:autoSpaceDN/>
        <w:bidi w:val="0"/>
        <w:adjustRightInd/>
        <w:snapToGrid/>
        <w:spacing w:before="156" w:after="156"/>
        <w:jc w:val="both"/>
        <w:rPr>
          <w:sz w:val="21"/>
          <w:szCs w:val="21"/>
        </w:rPr>
      </w:pPr>
      <w:r>
        <w:drawing>
          <wp:inline distT="0" distB="0" distL="114300" distR="114300">
            <wp:extent cx="5262245" cy="2159635"/>
            <wp:effectExtent l="0" t="0" r="14605" b="12065"/>
            <wp:docPr id="9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6"/>
                    <pic:cNvPicPr>
                      <a:picLocks noChangeAspect="1"/>
                    </pic:cNvPicPr>
                  </pic:nvPicPr>
                  <pic:blipFill>
                    <a:blip r:embed="rId49"/>
                    <a:stretch>
                      <a:fillRect/>
                    </a:stretch>
                  </pic:blipFill>
                  <pic:spPr>
                    <a:xfrm>
                      <a:off x="0" y="0"/>
                      <a:ext cx="5262245" cy="2159635"/>
                    </a:xfrm>
                    <a:prstGeom prst="rect">
                      <a:avLst/>
                    </a:prstGeom>
                    <a:noFill/>
                    <a:ln>
                      <a:noFill/>
                    </a:ln>
                  </pic:spPr>
                </pic:pic>
              </a:graphicData>
            </a:graphic>
          </wp:inline>
        </w:drawing>
      </w:r>
    </w:p>
    <w:p>
      <w:pPr>
        <w:pStyle w:val="22"/>
        <w:keepNext w:val="0"/>
        <w:keepLines w:val="0"/>
        <w:pageBreakBefore w:val="0"/>
        <w:widowControl w:val="0"/>
        <w:kinsoku/>
        <w:wordWrap/>
        <w:overflowPunct/>
        <w:topLinePunct w:val="0"/>
        <w:autoSpaceDE/>
        <w:autoSpaceDN/>
        <w:bidi w:val="0"/>
        <w:adjustRightInd/>
        <w:snapToGrid/>
        <w:spacing w:before="156" w:after="156"/>
        <w:ind w:firstLine="560" w:firstLineChars="200"/>
        <w:jc w:val="both"/>
        <w:textAlignment w:val="auto"/>
        <w:rPr>
          <w:rFonts w:hint="eastAsia" w:eastAsia="宋体"/>
          <w:lang w:val="en-US" w:eastAsia="zh-CN"/>
        </w:rPr>
      </w:pPr>
      <w:r>
        <w:rPr>
          <w:rFonts w:hint="eastAsia" w:ascii="华文仿宋" w:hAnsi="华文仿宋" w:eastAsia="华文仿宋" w:cs="华文仿宋"/>
          <w:kern w:val="2"/>
          <w:sz w:val="28"/>
          <w:szCs w:val="28"/>
          <w:lang w:val="en-US" w:eastAsia="zh-CN" w:bidi="ar-SA"/>
          <w14:ligatures w14:val="standardContextual"/>
        </w:rPr>
        <w:t>代理未提交招标公告，招标公告之前的节点（招标文件、场地预约、招标公告）可以重新修改编辑；代理提交招标公告后，之前的节点不可修改</w:t>
      </w:r>
      <w:r>
        <w:rPr>
          <w:rFonts w:hint="eastAsia" w:ascii="华文仿宋" w:hAnsi="华文仿宋" w:eastAsia="华文仿宋" w:cs="华文仿宋"/>
          <w:kern w:val="2"/>
          <w:sz w:val="28"/>
          <w:szCs w:val="28"/>
          <w:highlight w:val="none"/>
          <w:lang w:val="en-US" w:eastAsia="zh-CN" w:bidi="ar-SA"/>
          <w14:ligatures w14:val="standardContextual"/>
        </w:rPr>
        <w:t>，需要等待监督人审核</w:t>
      </w:r>
      <w:r>
        <w:rPr>
          <w:rFonts w:hint="eastAsia" w:ascii="华文仿宋" w:hAnsi="华文仿宋" w:eastAsia="华文仿宋" w:cs="华文仿宋"/>
          <w:kern w:val="2"/>
          <w:sz w:val="28"/>
          <w:szCs w:val="28"/>
          <w:lang w:val="en-US" w:eastAsia="zh-CN" w:bidi="ar-SA"/>
          <w14:ligatures w14:val="standardContextual"/>
        </w:rPr>
        <w:t>；招标人审核通过后，若有更改需求，需要通过发布澄清更改要修改的内容。</w:t>
      </w:r>
    </w:p>
    <w:p>
      <w:pPr>
        <w:rPr>
          <w:rFonts w:hint="eastAsia" w:eastAsia="宋体"/>
          <w:lang w:val="en-US" w:eastAsia="zh-CN"/>
        </w:rPr>
      </w:pPr>
    </w:p>
    <w:p>
      <w:pPr>
        <w:pStyle w:val="2"/>
        <w:numPr>
          <w:ilvl w:val="0"/>
          <w:numId w:val="0"/>
        </w:numPr>
        <w:bidi w:val="0"/>
        <w:ind w:leftChars="0"/>
        <w:rPr>
          <w:rFonts w:hint="eastAsia" w:ascii="华文仿宋" w:hAnsi="华文仿宋" w:eastAsia="华文仿宋" w:cs="华文仿宋"/>
          <w:b/>
          <w:bCs/>
          <w:kern w:val="2"/>
          <w:sz w:val="32"/>
          <w:szCs w:val="32"/>
          <w:lang w:val="en-US" w:eastAsia="zh-CN" w:bidi="ar-SA"/>
          <w14:ligatures w14:val="none"/>
        </w:rPr>
      </w:pPr>
      <w:bookmarkStart w:id="30" w:name="_Toc23901"/>
      <w:r>
        <w:rPr>
          <w:rFonts w:hint="eastAsia" w:ascii="华文仿宋" w:hAnsi="华文仿宋" w:eastAsia="华文仿宋" w:cs="华文仿宋"/>
          <w:b/>
          <w:bCs/>
          <w:kern w:val="2"/>
          <w:sz w:val="32"/>
          <w:szCs w:val="32"/>
          <w:lang w:val="en-US" w:eastAsia="zh-CN" w:bidi="ar-SA"/>
          <w14:ligatures w14:val="none"/>
        </w:rPr>
        <w:t>十、变更公告</w:t>
      </w:r>
      <w:bookmarkEnd w:id="30"/>
    </w:p>
    <w:p>
      <w:pPr>
        <w:pStyle w:val="3"/>
        <w:numPr>
          <w:ilvl w:val="1"/>
          <w:numId w:val="0"/>
        </w:numPr>
        <w:bidi w:val="0"/>
        <w:ind w:left="-141" w:leftChars="0"/>
        <w:rPr>
          <w:rFonts w:hint="eastAsia" w:ascii="华文仿宋" w:hAnsi="华文仿宋" w:eastAsia="华文仿宋" w:cs="华文仿宋"/>
          <w:lang w:val="en-US" w:eastAsia="zh-CN"/>
        </w:rPr>
      </w:pPr>
      <w:bookmarkStart w:id="31" w:name="_Toc26251"/>
      <w:r>
        <w:rPr>
          <w:rFonts w:hint="eastAsia" w:ascii="华文仿宋" w:hAnsi="华文仿宋" w:eastAsia="华文仿宋" w:cs="华文仿宋"/>
          <w:lang w:val="en-US" w:eastAsia="zh-CN"/>
        </w:rPr>
        <w:t>（一）功能介绍</w:t>
      </w:r>
      <w:bookmarkEnd w:id="31"/>
    </w:p>
    <w:p>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招标代理通过业务变更发布变更公告（变更不影响评标内容）。</w:t>
      </w:r>
    </w:p>
    <w:p>
      <w:pPr>
        <w:pStyle w:val="3"/>
        <w:numPr>
          <w:ilvl w:val="1"/>
          <w:numId w:val="0"/>
        </w:numPr>
        <w:bidi w:val="0"/>
        <w:ind w:left="-141" w:leftChars="0"/>
        <w:rPr>
          <w:rFonts w:hint="eastAsia" w:ascii="华文仿宋" w:hAnsi="华文仿宋" w:eastAsia="华文仿宋" w:cs="华文仿宋"/>
          <w:lang w:val="en-US" w:eastAsia="zh-CN"/>
        </w:rPr>
      </w:pPr>
      <w:bookmarkStart w:id="32" w:name="_Toc21109"/>
      <w:r>
        <w:rPr>
          <w:rFonts w:hint="eastAsia" w:ascii="华文仿宋" w:hAnsi="华文仿宋" w:eastAsia="华文仿宋" w:cs="华文仿宋"/>
          <w:lang w:val="en-US" w:eastAsia="zh-CN"/>
        </w:rPr>
        <w:t>（二）具体操作</w:t>
      </w:r>
      <w:bookmarkEnd w:id="32"/>
    </w:p>
    <w:p>
      <w:pPr>
        <w:pageBreakBefore w:val="0"/>
        <w:widowControl w:val="0"/>
        <w:kinsoku/>
        <w:wordWrap/>
        <w:overflowPunct/>
        <w:autoSpaceDE/>
        <w:autoSpaceDN/>
        <w:bidi w:val="0"/>
        <w:adjustRightInd/>
        <w:snapToGrid/>
        <w:ind w:firstLine="420"/>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1、招标代理点击右侧“业务变更”菜单，点击“变更公告”模块。</w:t>
      </w:r>
    </w:p>
    <w:p>
      <w:pPr>
        <w:pageBreakBefore w:val="0"/>
        <w:widowControl w:val="0"/>
        <w:kinsoku/>
        <w:wordWrap/>
        <w:overflowPunct/>
        <w:autoSpaceDE/>
        <w:autoSpaceDN/>
        <w:bidi w:val="0"/>
        <w:adjustRightInd/>
        <w:snapToGrid/>
        <w:ind w:left="0" w:leftChars="0" w:firstLine="0" w:firstLineChars="0"/>
        <w:rPr>
          <w:b/>
          <w:bCs/>
          <w:sz w:val="21"/>
          <w:szCs w:val="21"/>
        </w:rPr>
      </w:pPr>
      <w:r>
        <w:drawing>
          <wp:inline distT="0" distB="0" distL="114300" distR="114300">
            <wp:extent cx="5266690" cy="1275715"/>
            <wp:effectExtent l="0" t="0" r="10160" b="635"/>
            <wp:docPr id="9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7"/>
                    <pic:cNvPicPr>
                      <a:picLocks noChangeAspect="1"/>
                    </pic:cNvPicPr>
                  </pic:nvPicPr>
                  <pic:blipFill>
                    <a:blip r:embed="rId50"/>
                    <a:stretch>
                      <a:fillRect/>
                    </a:stretch>
                  </pic:blipFill>
                  <pic:spPr>
                    <a:xfrm>
                      <a:off x="0" y="0"/>
                      <a:ext cx="5266690" cy="1275715"/>
                    </a:xfrm>
                    <a:prstGeom prst="rect">
                      <a:avLst/>
                    </a:prstGeom>
                    <a:noFill/>
                    <a:ln>
                      <a:noFill/>
                    </a:ln>
                  </pic:spPr>
                </pic:pic>
              </a:graphicData>
            </a:graphic>
          </wp:inline>
        </w:drawing>
      </w:r>
    </w:p>
    <w:p>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2、招标代理点击右侧“编辑”按钮，录入变更内容。</w:t>
      </w:r>
    </w:p>
    <w:p>
      <w:pPr>
        <w:pageBreakBefore w:val="0"/>
        <w:widowControl w:val="0"/>
        <w:kinsoku/>
        <w:wordWrap/>
        <w:overflowPunct/>
        <w:autoSpaceDE/>
        <w:autoSpaceDN/>
        <w:bidi w:val="0"/>
        <w:adjustRightInd/>
        <w:snapToGrid/>
        <w:ind w:firstLine="420"/>
      </w:pPr>
      <w:r>
        <w:drawing>
          <wp:inline distT="0" distB="0" distL="114300" distR="114300">
            <wp:extent cx="5269865" cy="2303145"/>
            <wp:effectExtent l="0" t="0" r="6985" b="1905"/>
            <wp:docPr id="11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7"/>
                    <pic:cNvPicPr>
                      <a:picLocks noChangeAspect="1"/>
                    </pic:cNvPicPr>
                  </pic:nvPicPr>
                  <pic:blipFill>
                    <a:blip r:embed="rId51"/>
                    <a:stretch>
                      <a:fillRect/>
                    </a:stretch>
                  </pic:blipFill>
                  <pic:spPr>
                    <a:xfrm>
                      <a:off x="0" y="0"/>
                      <a:ext cx="5269865" cy="2303145"/>
                    </a:xfrm>
                    <a:prstGeom prst="rect">
                      <a:avLst/>
                    </a:prstGeom>
                    <a:noFill/>
                    <a:ln>
                      <a:noFill/>
                    </a:ln>
                  </pic:spPr>
                </pic:pic>
              </a:graphicData>
            </a:graphic>
          </wp:inline>
        </w:drawing>
      </w:r>
    </w:p>
    <w:p>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3、招标代理完善澄清内容和附件进行变更内容。</w:t>
      </w:r>
    </w:p>
    <w:p>
      <w:pPr>
        <w:pageBreakBefore w:val="0"/>
        <w:widowControl w:val="0"/>
        <w:kinsoku/>
        <w:wordWrap/>
        <w:overflowPunct/>
        <w:autoSpaceDE/>
        <w:autoSpaceDN/>
        <w:bidi w:val="0"/>
        <w:adjustRightInd/>
        <w:snapToGrid/>
        <w:ind w:firstLine="420"/>
      </w:pPr>
      <w:r>
        <w:drawing>
          <wp:inline distT="0" distB="0" distL="114300" distR="114300">
            <wp:extent cx="5266690" cy="1974215"/>
            <wp:effectExtent l="0" t="0" r="0" b="0"/>
            <wp:docPr id="11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8"/>
                    <pic:cNvPicPr>
                      <a:picLocks noChangeAspect="1"/>
                    </pic:cNvPicPr>
                  </pic:nvPicPr>
                  <pic:blipFill>
                    <a:blip r:embed="rId52"/>
                    <a:srcRect b="2263"/>
                    <a:stretch>
                      <a:fillRect/>
                    </a:stretch>
                  </pic:blipFill>
                  <pic:spPr>
                    <a:xfrm>
                      <a:off x="0" y="0"/>
                      <a:ext cx="5266690" cy="1974215"/>
                    </a:xfrm>
                    <a:prstGeom prst="rect">
                      <a:avLst/>
                    </a:prstGeom>
                    <a:noFill/>
                    <a:ln>
                      <a:noFill/>
                    </a:ln>
                  </pic:spPr>
                </pic:pic>
              </a:graphicData>
            </a:graphic>
          </wp:inline>
        </w:drawing>
      </w:r>
    </w:p>
    <w:p>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4、点击“浏览”按钮，预览变更内容效果页面。</w:t>
      </w:r>
    </w:p>
    <w:p>
      <w:pPr>
        <w:pageBreakBefore w:val="0"/>
        <w:widowControl w:val="0"/>
        <w:kinsoku/>
        <w:wordWrap/>
        <w:overflowPunct/>
        <w:autoSpaceDE/>
        <w:autoSpaceDN/>
        <w:bidi w:val="0"/>
        <w:adjustRightInd/>
        <w:snapToGrid/>
        <w:ind w:firstLine="420"/>
      </w:pPr>
      <w:r>
        <w:drawing>
          <wp:inline distT="0" distB="0" distL="114300" distR="114300">
            <wp:extent cx="5271135" cy="2028825"/>
            <wp:effectExtent l="0" t="0" r="5715" b="9525"/>
            <wp:docPr id="11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9"/>
                    <pic:cNvPicPr>
                      <a:picLocks noChangeAspect="1"/>
                    </pic:cNvPicPr>
                  </pic:nvPicPr>
                  <pic:blipFill>
                    <a:blip r:embed="rId53"/>
                    <a:stretch>
                      <a:fillRect/>
                    </a:stretch>
                  </pic:blipFill>
                  <pic:spPr>
                    <a:xfrm>
                      <a:off x="0" y="0"/>
                      <a:ext cx="5271135" cy="2028825"/>
                    </a:xfrm>
                    <a:prstGeom prst="rect">
                      <a:avLst/>
                    </a:prstGeom>
                    <a:noFill/>
                    <a:ln>
                      <a:noFill/>
                    </a:ln>
                  </pic:spPr>
                </pic:pic>
              </a:graphicData>
            </a:graphic>
          </wp:inline>
        </w:drawing>
      </w:r>
    </w:p>
    <w:p>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5、点击“提交”按钮，将要变更内容进行内容提交。</w:t>
      </w:r>
    </w:p>
    <w:p>
      <w:pPr>
        <w:pStyle w:val="2"/>
        <w:numPr>
          <w:ilvl w:val="0"/>
          <w:numId w:val="0"/>
        </w:numPr>
        <w:bidi w:val="0"/>
        <w:ind w:leftChars="0"/>
        <w:rPr>
          <w:rFonts w:hint="eastAsia" w:ascii="华文仿宋" w:hAnsi="华文仿宋" w:eastAsia="华文仿宋" w:cs="华文仿宋"/>
          <w:b/>
          <w:bCs/>
          <w:kern w:val="2"/>
          <w:sz w:val="32"/>
          <w:szCs w:val="32"/>
          <w:lang w:val="en-US" w:eastAsia="zh-CN" w:bidi="ar-SA"/>
          <w14:ligatures w14:val="none"/>
        </w:rPr>
      </w:pPr>
      <w:bookmarkStart w:id="33" w:name="_Toc5832"/>
      <w:r>
        <w:rPr>
          <w:rFonts w:hint="eastAsia" w:ascii="华文仿宋" w:hAnsi="华文仿宋" w:eastAsia="华文仿宋" w:cs="华文仿宋"/>
          <w:b/>
          <w:bCs/>
          <w:kern w:val="2"/>
          <w:sz w:val="32"/>
          <w:szCs w:val="32"/>
          <w:lang w:val="en-US" w:eastAsia="zh-CN" w:bidi="ar-SA"/>
          <w14:ligatures w14:val="none"/>
        </w:rPr>
        <w:t>十一、澄清公告</w:t>
      </w:r>
      <w:bookmarkEnd w:id="33"/>
    </w:p>
    <w:p>
      <w:pPr>
        <w:pStyle w:val="3"/>
        <w:numPr>
          <w:ilvl w:val="1"/>
          <w:numId w:val="0"/>
        </w:numPr>
        <w:bidi w:val="0"/>
        <w:ind w:left="-141" w:leftChars="0"/>
        <w:rPr>
          <w:rFonts w:hint="eastAsia" w:ascii="华文仿宋" w:hAnsi="华文仿宋" w:eastAsia="华文仿宋" w:cs="华文仿宋"/>
          <w:lang w:val="en-US" w:eastAsia="zh-CN"/>
        </w:rPr>
      </w:pPr>
      <w:bookmarkStart w:id="34" w:name="_Toc5707"/>
      <w:r>
        <w:rPr>
          <w:rFonts w:hint="eastAsia" w:ascii="华文仿宋" w:hAnsi="华文仿宋" w:eastAsia="华文仿宋" w:cs="华文仿宋"/>
          <w:lang w:val="en-US" w:eastAsia="zh-CN"/>
        </w:rPr>
        <w:t>（一）功能介绍</w:t>
      </w:r>
      <w:bookmarkEnd w:id="34"/>
    </w:p>
    <w:p>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招标代理通过业务变更发布澄清公告（澄清内容会影响到评标，项目距离开标时间不符合法规要求，需延期开标）。</w:t>
      </w:r>
    </w:p>
    <w:p>
      <w:pPr>
        <w:pStyle w:val="3"/>
        <w:numPr>
          <w:ilvl w:val="1"/>
          <w:numId w:val="0"/>
        </w:numPr>
        <w:bidi w:val="0"/>
        <w:ind w:left="-141" w:leftChars="0"/>
        <w:rPr>
          <w:rFonts w:hint="eastAsia" w:ascii="华文仿宋" w:hAnsi="华文仿宋" w:eastAsia="华文仿宋" w:cs="华文仿宋"/>
          <w:lang w:val="en-US" w:eastAsia="zh-CN"/>
        </w:rPr>
      </w:pPr>
      <w:bookmarkStart w:id="35" w:name="_Toc17472"/>
      <w:r>
        <w:rPr>
          <w:rFonts w:hint="eastAsia" w:ascii="华文仿宋" w:hAnsi="华文仿宋" w:eastAsia="华文仿宋" w:cs="华文仿宋"/>
          <w:lang w:val="en-US" w:eastAsia="zh-CN"/>
        </w:rPr>
        <w:t>（二）具体操作</w:t>
      </w:r>
      <w:bookmarkEnd w:id="35"/>
    </w:p>
    <w:p>
      <w:pPr>
        <w:pageBreakBefore w:val="0"/>
        <w:widowControl w:val="0"/>
        <w:kinsoku/>
        <w:wordWrap/>
        <w:overflowPunct/>
        <w:autoSpaceDE/>
        <w:autoSpaceDN/>
        <w:bidi w:val="0"/>
        <w:adjustRightInd/>
        <w:snapToGrid/>
        <w:ind w:firstLine="420"/>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1、招标代理点击右侧“业务变更”菜单，点击“澄清公告”模块。</w:t>
      </w:r>
    </w:p>
    <w:p>
      <w:pPr>
        <w:pageBreakBefore w:val="0"/>
        <w:widowControl w:val="0"/>
        <w:kinsoku/>
        <w:wordWrap/>
        <w:overflowPunct/>
        <w:autoSpaceDE/>
        <w:autoSpaceDN/>
        <w:bidi w:val="0"/>
        <w:adjustRightInd/>
        <w:snapToGrid/>
        <w:ind w:left="0" w:leftChars="0" w:firstLine="0" w:firstLineChars="0"/>
        <w:rPr>
          <w:rFonts w:hint="eastAsia" w:ascii="华文仿宋" w:hAnsi="华文仿宋" w:eastAsia="华文仿宋" w:cs="华文仿宋"/>
          <w:kern w:val="2"/>
          <w:sz w:val="28"/>
          <w:szCs w:val="28"/>
          <w:lang w:val="en-US" w:eastAsia="zh-CN" w:bidi="ar-SA"/>
          <w14:ligatures w14:val="standardContextual"/>
        </w:rPr>
      </w:pPr>
      <w:r>
        <w:drawing>
          <wp:inline distT="0" distB="0" distL="114300" distR="114300">
            <wp:extent cx="5266690" cy="932180"/>
            <wp:effectExtent l="0" t="0" r="10160" b="1270"/>
            <wp:docPr id="10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8"/>
                    <pic:cNvPicPr>
                      <a:picLocks noChangeAspect="1"/>
                    </pic:cNvPicPr>
                  </pic:nvPicPr>
                  <pic:blipFill>
                    <a:blip r:embed="rId54"/>
                    <a:stretch>
                      <a:fillRect/>
                    </a:stretch>
                  </pic:blipFill>
                  <pic:spPr>
                    <a:xfrm>
                      <a:off x="0" y="0"/>
                      <a:ext cx="5266690" cy="932180"/>
                    </a:xfrm>
                    <a:prstGeom prst="rect">
                      <a:avLst/>
                    </a:prstGeom>
                    <a:noFill/>
                    <a:ln>
                      <a:noFill/>
                    </a:ln>
                  </pic:spPr>
                </pic:pic>
              </a:graphicData>
            </a:graphic>
          </wp:inline>
        </w:drawing>
      </w:r>
    </w:p>
    <w:p>
      <w:pPr>
        <w:pageBreakBefore w:val="0"/>
        <w:widowControl w:val="0"/>
        <w:numPr>
          <w:ilvl w:val="0"/>
          <w:numId w:val="13"/>
        </w:numPr>
        <w:kinsoku/>
        <w:wordWrap/>
        <w:overflowPunct/>
        <w:autoSpaceDE/>
        <w:autoSpaceDN/>
        <w:bidi w:val="0"/>
        <w:adjustRightInd/>
        <w:snapToGrid/>
        <w:ind w:left="0" w:leftChars="0" w:firstLine="560" w:firstLineChars="200"/>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招标代理点击右侧“新增”按钮，新增澄清内容。</w:t>
      </w:r>
    </w:p>
    <w:p>
      <w:pPr>
        <w:pageBreakBefore w:val="0"/>
        <w:widowControl w:val="0"/>
        <w:numPr>
          <w:ilvl w:val="0"/>
          <w:numId w:val="0"/>
        </w:numPr>
        <w:kinsoku/>
        <w:wordWrap/>
        <w:overflowPunct/>
        <w:autoSpaceDE/>
        <w:autoSpaceDN/>
        <w:bidi w:val="0"/>
        <w:adjustRightInd/>
        <w:snapToGrid/>
      </w:pPr>
      <w:r>
        <w:drawing>
          <wp:inline distT="0" distB="0" distL="114300" distR="114300">
            <wp:extent cx="5264785" cy="2488565"/>
            <wp:effectExtent l="0" t="0" r="12065" b="6985"/>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55"/>
                    <a:stretch>
                      <a:fillRect/>
                    </a:stretch>
                  </pic:blipFill>
                  <pic:spPr>
                    <a:xfrm>
                      <a:off x="0" y="0"/>
                      <a:ext cx="5264785" cy="2488565"/>
                    </a:xfrm>
                    <a:prstGeom prst="rect">
                      <a:avLst/>
                    </a:prstGeom>
                    <a:noFill/>
                    <a:ln>
                      <a:noFill/>
                    </a:ln>
                  </pic:spPr>
                </pic:pic>
              </a:graphicData>
            </a:graphic>
          </wp:inline>
        </w:drawing>
      </w:r>
    </w:p>
    <w:p>
      <w:pPr>
        <w:pageBreakBefore w:val="0"/>
        <w:widowControl w:val="0"/>
        <w:numPr>
          <w:ilvl w:val="0"/>
          <w:numId w:val="13"/>
        </w:numPr>
        <w:kinsoku/>
        <w:wordWrap/>
        <w:overflowPunct/>
        <w:autoSpaceDE/>
        <w:autoSpaceDN/>
        <w:bidi w:val="0"/>
        <w:adjustRightInd/>
        <w:snapToGrid/>
        <w:ind w:left="0" w:leftChars="0" w:firstLine="560" w:firstLineChars="200"/>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招标代理勾选“标段”，新增澄清内容。</w:t>
      </w:r>
    </w:p>
    <w:p>
      <w:pPr>
        <w:pageBreakBefore w:val="0"/>
        <w:widowControl w:val="0"/>
        <w:numPr>
          <w:ilvl w:val="0"/>
          <w:numId w:val="0"/>
        </w:numPr>
        <w:kinsoku/>
        <w:wordWrap/>
        <w:overflowPunct/>
        <w:autoSpaceDE/>
        <w:autoSpaceDN/>
        <w:bidi w:val="0"/>
        <w:adjustRightInd/>
        <w:snapToGrid/>
      </w:pPr>
      <w:r>
        <w:drawing>
          <wp:inline distT="0" distB="0" distL="114300" distR="114300">
            <wp:extent cx="5267325" cy="2317115"/>
            <wp:effectExtent l="0" t="0" r="9525" b="6985"/>
            <wp:docPr id="124"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6"/>
                    <pic:cNvPicPr>
                      <a:picLocks noChangeAspect="1"/>
                    </pic:cNvPicPr>
                  </pic:nvPicPr>
                  <pic:blipFill>
                    <a:blip r:embed="rId56"/>
                    <a:stretch>
                      <a:fillRect/>
                    </a:stretch>
                  </pic:blipFill>
                  <pic:spPr>
                    <a:xfrm>
                      <a:off x="0" y="0"/>
                      <a:ext cx="5267325" cy="2317115"/>
                    </a:xfrm>
                    <a:prstGeom prst="rect">
                      <a:avLst/>
                    </a:prstGeom>
                    <a:noFill/>
                    <a:ln>
                      <a:noFill/>
                    </a:ln>
                  </pic:spPr>
                </pic:pic>
              </a:graphicData>
            </a:graphic>
          </wp:inline>
        </w:drawing>
      </w:r>
    </w:p>
    <w:p>
      <w:pPr>
        <w:pageBreakBefore w:val="0"/>
        <w:widowControl w:val="0"/>
        <w:numPr>
          <w:ilvl w:val="0"/>
          <w:numId w:val="13"/>
        </w:numPr>
        <w:kinsoku/>
        <w:wordWrap/>
        <w:overflowPunct/>
        <w:autoSpaceDE/>
        <w:autoSpaceDN/>
        <w:bidi w:val="0"/>
        <w:adjustRightInd/>
        <w:snapToGrid/>
        <w:ind w:left="0" w:leftChars="0" w:firstLine="560" w:firstLineChars="200"/>
      </w:pPr>
      <w:r>
        <w:rPr>
          <w:rFonts w:hint="eastAsia" w:ascii="华文仿宋" w:hAnsi="华文仿宋" w:eastAsia="华文仿宋" w:cs="华文仿宋"/>
          <w:kern w:val="2"/>
          <w:sz w:val="28"/>
          <w:szCs w:val="28"/>
          <w:lang w:val="en-US" w:eastAsia="zh-CN" w:bidi="ar-SA"/>
          <w14:ligatures w14:val="standardContextual"/>
        </w:rPr>
        <w:t>招标代理新增成功后，在澄清公告页面点击“编辑”按钮完善澄清内容。</w:t>
      </w:r>
    </w:p>
    <w:p>
      <w:pPr>
        <w:pageBreakBefore w:val="0"/>
        <w:widowControl w:val="0"/>
        <w:numPr>
          <w:ilvl w:val="0"/>
          <w:numId w:val="13"/>
        </w:numPr>
        <w:kinsoku/>
        <w:wordWrap/>
        <w:overflowPunct/>
        <w:autoSpaceDE/>
        <w:autoSpaceDN/>
        <w:bidi w:val="0"/>
        <w:adjustRightInd/>
        <w:snapToGrid/>
        <w:ind w:left="0" w:leftChars="0" w:firstLine="560" w:firstLineChars="200"/>
        <w:rPr>
          <w:rFonts w:hint="default"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招标代理在澄清页面，可书写变更信息，可修改招标阶段的开标一栏表、招标明细、评标办法、变更附件等信息。</w:t>
      </w:r>
    </w:p>
    <w:p>
      <w:pPr>
        <w:pStyle w:val="2"/>
        <w:numPr>
          <w:ilvl w:val="0"/>
          <w:numId w:val="0"/>
        </w:numPr>
        <w:bidi w:val="0"/>
        <w:ind w:leftChars="0"/>
        <w:rPr>
          <w:rFonts w:hint="eastAsia"/>
          <w:lang w:val="en-US" w:eastAsia="zh-CN"/>
        </w:rPr>
      </w:pPr>
      <w:bookmarkStart w:id="36" w:name="_Toc16154"/>
      <w:r>
        <w:rPr>
          <w:rFonts w:hint="eastAsia" w:ascii="华文仿宋" w:hAnsi="华文仿宋" w:eastAsia="华文仿宋" w:cs="华文仿宋"/>
          <w:b/>
          <w:bCs/>
          <w:kern w:val="2"/>
          <w:sz w:val="32"/>
          <w:szCs w:val="32"/>
          <w:lang w:val="en-US" w:eastAsia="zh-CN" w:bidi="ar-SA"/>
          <w14:ligatures w14:val="none"/>
        </w:rPr>
        <w:t>十二、场地变更</w:t>
      </w:r>
      <w:bookmarkEnd w:id="36"/>
    </w:p>
    <w:p>
      <w:pPr>
        <w:pStyle w:val="3"/>
        <w:numPr>
          <w:ilvl w:val="1"/>
          <w:numId w:val="0"/>
        </w:numPr>
        <w:bidi w:val="0"/>
        <w:ind w:left="-141" w:leftChars="0"/>
        <w:rPr>
          <w:rFonts w:hint="eastAsia" w:ascii="华文仿宋" w:hAnsi="华文仿宋" w:eastAsia="华文仿宋" w:cs="华文仿宋"/>
          <w:lang w:val="en-US" w:eastAsia="zh-CN"/>
        </w:rPr>
      </w:pPr>
      <w:bookmarkStart w:id="37" w:name="_Toc25040"/>
      <w:r>
        <w:rPr>
          <w:rFonts w:hint="eastAsia" w:ascii="华文仿宋" w:hAnsi="华文仿宋" w:eastAsia="华文仿宋" w:cs="华文仿宋"/>
          <w:lang w:val="en-US" w:eastAsia="zh-CN"/>
        </w:rPr>
        <w:t>（一）功能介绍</w:t>
      </w:r>
      <w:bookmarkEnd w:id="37"/>
    </w:p>
    <w:p>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招标代理可通过场地变更取消场地预约并重新约场地。</w:t>
      </w:r>
    </w:p>
    <w:p>
      <w:pPr>
        <w:pStyle w:val="3"/>
        <w:numPr>
          <w:ilvl w:val="1"/>
          <w:numId w:val="0"/>
        </w:numPr>
        <w:bidi w:val="0"/>
        <w:ind w:left="-141" w:leftChars="0"/>
        <w:rPr>
          <w:rFonts w:hint="eastAsia" w:ascii="华文仿宋" w:hAnsi="华文仿宋" w:eastAsia="华文仿宋" w:cs="华文仿宋"/>
          <w:lang w:val="en-US" w:eastAsia="zh-CN"/>
        </w:rPr>
      </w:pPr>
      <w:bookmarkStart w:id="38" w:name="_Toc7060"/>
      <w:r>
        <w:rPr>
          <w:rFonts w:hint="eastAsia" w:ascii="华文仿宋" w:hAnsi="华文仿宋" w:eastAsia="华文仿宋" w:cs="华文仿宋"/>
          <w:lang w:val="en-US" w:eastAsia="zh-CN"/>
        </w:rPr>
        <w:t>（二）具体操作</w:t>
      </w:r>
      <w:bookmarkEnd w:id="38"/>
    </w:p>
    <w:p>
      <w:pPr>
        <w:pageBreakBefore w:val="0"/>
        <w:widowControl w:val="0"/>
        <w:kinsoku/>
        <w:wordWrap/>
        <w:overflowPunct/>
        <w:autoSpaceDE/>
        <w:autoSpaceDN/>
        <w:bidi w:val="0"/>
        <w:adjustRightInd/>
        <w:snapToGrid/>
        <w:ind w:firstLine="420"/>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1、招标代理点击右侧“业务变更”菜单，点击“场地变更”模块。</w:t>
      </w:r>
    </w:p>
    <w:p>
      <w:pPr>
        <w:pageBreakBefore w:val="0"/>
        <w:widowControl w:val="0"/>
        <w:kinsoku/>
        <w:wordWrap/>
        <w:overflowPunct/>
        <w:autoSpaceDE/>
        <w:autoSpaceDN/>
        <w:bidi w:val="0"/>
        <w:adjustRightInd/>
        <w:snapToGrid/>
        <w:ind w:firstLine="420"/>
        <w:rPr>
          <w:rFonts w:hint="eastAsia" w:ascii="华文仿宋" w:hAnsi="华文仿宋" w:eastAsia="华文仿宋" w:cs="华文仿宋"/>
          <w:kern w:val="2"/>
          <w:sz w:val="28"/>
          <w:szCs w:val="28"/>
          <w:lang w:val="en-US" w:eastAsia="zh-CN" w:bidi="ar-SA"/>
          <w14:ligatures w14:val="standardContextual"/>
        </w:rPr>
      </w:pPr>
      <w:r>
        <w:drawing>
          <wp:inline distT="0" distB="0" distL="114300" distR="114300">
            <wp:extent cx="5266690" cy="1022350"/>
            <wp:effectExtent l="0" t="0" r="10160" b="6350"/>
            <wp:docPr id="10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9"/>
                    <pic:cNvPicPr>
                      <a:picLocks noChangeAspect="1"/>
                    </pic:cNvPicPr>
                  </pic:nvPicPr>
                  <pic:blipFill>
                    <a:blip r:embed="rId57"/>
                    <a:stretch>
                      <a:fillRect/>
                    </a:stretch>
                  </pic:blipFill>
                  <pic:spPr>
                    <a:xfrm>
                      <a:off x="0" y="0"/>
                      <a:ext cx="5266690" cy="1022350"/>
                    </a:xfrm>
                    <a:prstGeom prst="rect">
                      <a:avLst/>
                    </a:prstGeom>
                    <a:noFill/>
                    <a:ln>
                      <a:noFill/>
                    </a:ln>
                  </pic:spPr>
                </pic:pic>
              </a:graphicData>
            </a:graphic>
          </wp:inline>
        </w:drawing>
      </w:r>
    </w:p>
    <w:p>
      <w:pPr>
        <w:pageBreakBefore w:val="0"/>
        <w:widowControl w:val="0"/>
        <w:kinsoku/>
        <w:wordWrap/>
        <w:overflowPunct/>
        <w:autoSpaceDE/>
        <w:autoSpaceDN/>
        <w:bidi w:val="0"/>
        <w:adjustRightInd/>
        <w:snapToGrid/>
        <w:ind w:firstLine="420"/>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2、招标代理点击“场地变更”菜单，在跳出页面中，需要先取消场地预约，再重新进行场地变更。</w:t>
      </w:r>
    </w:p>
    <w:p>
      <w:pPr>
        <w:pageBreakBefore w:val="0"/>
        <w:widowControl w:val="0"/>
        <w:kinsoku/>
        <w:wordWrap/>
        <w:overflowPunct/>
        <w:autoSpaceDE/>
        <w:autoSpaceDN/>
        <w:bidi w:val="0"/>
        <w:adjustRightInd/>
        <w:snapToGrid/>
        <w:ind w:left="0" w:leftChars="0" w:firstLine="0" w:firstLineChars="0"/>
        <w:rPr>
          <w:rFonts w:hint="eastAsia"/>
          <w:lang w:val="en-US" w:eastAsia="zh-CN"/>
        </w:rPr>
      </w:pPr>
      <w:r>
        <w:drawing>
          <wp:inline distT="0" distB="0" distL="114300" distR="114300">
            <wp:extent cx="5263515" cy="1640840"/>
            <wp:effectExtent l="0" t="0" r="13335" b="16510"/>
            <wp:docPr id="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5"/>
                    <pic:cNvPicPr>
                      <a:picLocks noChangeAspect="1"/>
                    </pic:cNvPicPr>
                  </pic:nvPicPr>
                  <pic:blipFill>
                    <a:blip r:embed="rId58"/>
                    <a:stretch>
                      <a:fillRect/>
                    </a:stretch>
                  </pic:blipFill>
                  <pic:spPr>
                    <a:xfrm>
                      <a:off x="0" y="0"/>
                      <a:ext cx="5263515" cy="1640840"/>
                    </a:xfrm>
                    <a:prstGeom prst="rect">
                      <a:avLst/>
                    </a:prstGeom>
                    <a:noFill/>
                    <a:ln>
                      <a:noFill/>
                    </a:ln>
                  </pic:spPr>
                </pic:pic>
              </a:graphicData>
            </a:graphic>
          </wp:inline>
        </w:drawing>
      </w:r>
    </w:p>
    <w:p>
      <w:pPr>
        <w:pStyle w:val="2"/>
        <w:numPr>
          <w:ilvl w:val="0"/>
          <w:numId w:val="0"/>
        </w:numPr>
        <w:bidi w:val="0"/>
        <w:ind w:leftChars="0"/>
        <w:rPr>
          <w:rFonts w:hint="eastAsia"/>
          <w:lang w:val="en-US" w:eastAsia="zh-CN"/>
        </w:rPr>
      </w:pPr>
      <w:bookmarkStart w:id="39" w:name="_Toc13699"/>
      <w:r>
        <w:rPr>
          <w:rFonts w:hint="eastAsia" w:ascii="华文仿宋" w:hAnsi="华文仿宋" w:eastAsia="华文仿宋" w:cs="华文仿宋"/>
          <w:b/>
          <w:bCs/>
          <w:kern w:val="2"/>
          <w:sz w:val="32"/>
          <w:szCs w:val="32"/>
          <w:lang w:val="en-US" w:eastAsia="zh-CN" w:bidi="ar-SA"/>
          <w14:ligatures w14:val="none"/>
        </w:rPr>
        <w:t>十三、终止/废标公告</w:t>
      </w:r>
      <w:bookmarkEnd w:id="39"/>
    </w:p>
    <w:p>
      <w:pPr>
        <w:pStyle w:val="3"/>
        <w:numPr>
          <w:ilvl w:val="1"/>
          <w:numId w:val="0"/>
        </w:numPr>
        <w:bidi w:val="0"/>
        <w:ind w:left="-141" w:leftChars="0"/>
        <w:rPr>
          <w:rFonts w:hint="eastAsia" w:ascii="华文仿宋" w:hAnsi="华文仿宋" w:eastAsia="华文仿宋" w:cs="华文仿宋"/>
          <w:lang w:val="en-US" w:eastAsia="zh-CN"/>
        </w:rPr>
      </w:pPr>
      <w:bookmarkStart w:id="40" w:name="_Toc19250"/>
      <w:r>
        <w:rPr>
          <w:rFonts w:hint="eastAsia" w:ascii="华文仿宋" w:hAnsi="华文仿宋" w:eastAsia="华文仿宋" w:cs="华文仿宋"/>
          <w:lang w:val="en-US" w:eastAsia="zh-CN"/>
        </w:rPr>
        <w:t>（一）功能介绍</w:t>
      </w:r>
      <w:bookmarkEnd w:id="40"/>
    </w:p>
    <w:p>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招标代理通过业务变更发布终止公告（项目终止）或废标公告。</w:t>
      </w:r>
    </w:p>
    <w:p>
      <w:pPr>
        <w:pStyle w:val="3"/>
        <w:numPr>
          <w:ilvl w:val="1"/>
          <w:numId w:val="0"/>
        </w:numPr>
        <w:bidi w:val="0"/>
        <w:ind w:left="-141" w:leftChars="0"/>
        <w:rPr>
          <w:rFonts w:hint="eastAsia" w:ascii="华文仿宋" w:hAnsi="华文仿宋" w:eastAsia="华文仿宋" w:cs="华文仿宋"/>
          <w:lang w:val="en-US" w:eastAsia="zh-CN"/>
        </w:rPr>
      </w:pPr>
      <w:bookmarkStart w:id="41" w:name="_Toc29734"/>
      <w:r>
        <w:rPr>
          <w:rFonts w:hint="eastAsia" w:ascii="华文仿宋" w:hAnsi="华文仿宋" w:eastAsia="华文仿宋" w:cs="华文仿宋"/>
          <w:lang w:val="en-US" w:eastAsia="zh-CN"/>
        </w:rPr>
        <w:t>（二）具体操作</w:t>
      </w:r>
      <w:bookmarkEnd w:id="41"/>
    </w:p>
    <w:p>
      <w:pPr>
        <w:pageBreakBefore w:val="0"/>
        <w:widowControl w:val="0"/>
        <w:kinsoku/>
        <w:wordWrap/>
        <w:overflowPunct/>
        <w:autoSpaceDE/>
        <w:autoSpaceDN/>
        <w:bidi w:val="0"/>
        <w:adjustRightInd/>
        <w:snapToGrid/>
        <w:ind w:firstLine="420"/>
        <w:rPr>
          <w:rFonts w:hint="eastAsia" w:ascii="华文仿宋" w:hAnsi="华文仿宋" w:eastAsia="华文仿宋" w:cs="华文仿宋"/>
          <w:kern w:val="2"/>
          <w:sz w:val="28"/>
          <w:szCs w:val="28"/>
          <w:lang w:val="en-US" w:eastAsia="zh-CN" w:bidi="ar-SA"/>
          <w14:ligatures w14:val="standardContextual"/>
        </w:rPr>
      </w:pPr>
      <w:r>
        <w:rPr>
          <w:rFonts w:hint="eastAsia" w:ascii="华文仿宋" w:hAnsi="华文仿宋" w:eastAsia="华文仿宋" w:cs="华文仿宋"/>
          <w:kern w:val="2"/>
          <w:sz w:val="28"/>
          <w:szCs w:val="28"/>
          <w:lang w:val="en-US" w:eastAsia="zh-CN" w:bidi="ar-SA"/>
          <w14:ligatures w14:val="standardContextual"/>
        </w:rPr>
        <w:t>1、招标代理点击右侧“业务变更”菜单，点击“终止公告”、“废标公告”模块。</w:t>
      </w:r>
    </w:p>
    <w:p>
      <w:pPr>
        <w:pageBreakBefore w:val="0"/>
        <w:widowControl w:val="0"/>
        <w:kinsoku/>
        <w:wordWrap/>
        <w:overflowPunct/>
        <w:autoSpaceDE/>
        <w:autoSpaceDN/>
        <w:bidi w:val="0"/>
        <w:adjustRightInd/>
        <w:snapToGrid/>
        <w:ind w:left="0" w:leftChars="0" w:firstLine="0" w:firstLineChars="0"/>
        <w:rPr>
          <w:sz w:val="21"/>
          <w:szCs w:val="21"/>
        </w:rPr>
      </w:pPr>
      <w:r>
        <w:drawing>
          <wp:inline distT="0" distB="0" distL="114300" distR="114300">
            <wp:extent cx="5266690" cy="1010285"/>
            <wp:effectExtent l="0" t="0" r="10160" b="18415"/>
            <wp:docPr id="10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0"/>
                    <pic:cNvPicPr>
                      <a:picLocks noChangeAspect="1"/>
                    </pic:cNvPicPr>
                  </pic:nvPicPr>
                  <pic:blipFill>
                    <a:blip r:embed="rId59"/>
                    <a:stretch>
                      <a:fillRect/>
                    </a:stretch>
                  </pic:blipFill>
                  <pic:spPr>
                    <a:xfrm>
                      <a:off x="0" y="0"/>
                      <a:ext cx="5266690" cy="1010285"/>
                    </a:xfrm>
                    <a:prstGeom prst="rect">
                      <a:avLst/>
                    </a:prstGeom>
                    <a:noFill/>
                    <a:ln>
                      <a:noFill/>
                    </a:ln>
                  </pic:spPr>
                </pic:pic>
              </a:graphicData>
            </a:graphic>
          </wp:inline>
        </w:drawing>
      </w:r>
    </w:p>
    <w:p>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2、招标代理点击右侧“编辑”按钮，录入项目终止或废标原因。</w:t>
      </w:r>
    </w:p>
    <w:p>
      <w:pPr>
        <w:pageBreakBefore w:val="0"/>
        <w:widowControl w:val="0"/>
        <w:kinsoku/>
        <w:wordWrap/>
        <w:overflowPunct/>
        <w:autoSpaceDE/>
        <w:autoSpaceDN/>
        <w:bidi w:val="0"/>
        <w:adjustRightInd/>
        <w:snapToGrid/>
        <w:ind w:left="0" w:leftChars="0" w:firstLine="0" w:firstLineChars="0"/>
      </w:pPr>
      <w:r>
        <w:drawing>
          <wp:inline distT="0" distB="0" distL="114300" distR="114300">
            <wp:extent cx="5266690" cy="2311400"/>
            <wp:effectExtent l="0" t="0" r="10160" b="12700"/>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60"/>
                    <a:stretch>
                      <a:fillRect/>
                    </a:stretch>
                  </pic:blipFill>
                  <pic:spPr>
                    <a:xfrm>
                      <a:off x="0" y="0"/>
                      <a:ext cx="5266690" cy="2311400"/>
                    </a:xfrm>
                    <a:prstGeom prst="rect">
                      <a:avLst/>
                    </a:prstGeom>
                    <a:noFill/>
                    <a:ln>
                      <a:noFill/>
                    </a:ln>
                  </pic:spPr>
                </pic:pic>
              </a:graphicData>
            </a:graphic>
          </wp:inline>
        </w:drawing>
      </w:r>
    </w:p>
    <w:p>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3、招标代理根据项目情况完善好终止原因或废标原因。</w:t>
      </w:r>
    </w:p>
    <w:p>
      <w:pPr>
        <w:pageBreakBefore w:val="0"/>
        <w:widowControl w:val="0"/>
        <w:kinsoku/>
        <w:wordWrap/>
        <w:overflowPunct/>
        <w:autoSpaceDE/>
        <w:autoSpaceDN/>
        <w:bidi w:val="0"/>
        <w:adjustRightInd/>
        <w:snapToGrid/>
        <w:ind w:left="0" w:leftChars="0" w:firstLine="0" w:firstLineChars="0"/>
      </w:pPr>
      <w:r>
        <w:drawing>
          <wp:inline distT="0" distB="0" distL="114300" distR="114300">
            <wp:extent cx="5264150" cy="2087880"/>
            <wp:effectExtent l="0" t="0" r="12700" b="7620"/>
            <wp:docPr id="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
                    <pic:cNvPicPr>
                      <a:picLocks noChangeAspect="1"/>
                    </pic:cNvPicPr>
                  </pic:nvPicPr>
                  <pic:blipFill>
                    <a:blip r:embed="rId61"/>
                    <a:stretch>
                      <a:fillRect/>
                    </a:stretch>
                  </pic:blipFill>
                  <pic:spPr>
                    <a:xfrm>
                      <a:off x="0" y="0"/>
                      <a:ext cx="5264150" cy="2087880"/>
                    </a:xfrm>
                    <a:prstGeom prst="rect">
                      <a:avLst/>
                    </a:prstGeom>
                    <a:noFill/>
                    <a:ln>
                      <a:noFill/>
                    </a:ln>
                  </pic:spPr>
                </pic:pic>
              </a:graphicData>
            </a:graphic>
          </wp:inline>
        </w:drawing>
      </w:r>
    </w:p>
    <w:p>
      <w:pPr>
        <w:pageBreakBefore w:val="0"/>
        <w:widowControl w:val="0"/>
        <w:kinsoku/>
        <w:wordWrap/>
        <w:overflowPunct/>
        <w:autoSpaceDE/>
        <w:autoSpaceDN/>
        <w:bidi w:val="0"/>
        <w:adjustRightInd/>
        <w:snapToGrid/>
        <w:ind w:firstLine="420"/>
      </w:pPr>
      <w:r>
        <w:rPr>
          <w:rFonts w:hint="eastAsia" w:ascii="华文仿宋" w:hAnsi="华文仿宋" w:eastAsia="华文仿宋" w:cs="华文仿宋"/>
          <w:kern w:val="2"/>
          <w:sz w:val="28"/>
          <w:szCs w:val="28"/>
          <w:lang w:val="en-US" w:eastAsia="zh-CN" w:bidi="ar-SA"/>
          <w14:ligatures w14:val="standardContextual"/>
        </w:rPr>
        <w:t>4、点击“预览”按钮，预览内容效果页面。</w:t>
      </w:r>
    </w:p>
    <w:p>
      <w:pPr>
        <w:pageBreakBefore w:val="0"/>
        <w:widowControl w:val="0"/>
        <w:kinsoku/>
        <w:wordWrap/>
        <w:overflowPunct/>
        <w:autoSpaceDE/>
        <w:autoSpaceDN/>
        <w:bidi w:val="0"/>
        <w:adjustRightInd/>
        <w:snapToGrid/>
        <w:ind w:left="0" w:leftChars="0" w:firstLine="0" w:firstLineChars="0"/>
      </w:pPr>
      <w:r>
        <w:drawing>
          <wp:inline distT="0" distB="0" distL="114300" distR="114300">
            <wp:extent cx="5270500" cy="2157730"/>
            <wp:effectExtent l="0" t="0" r="6350" b="13970"/>
            <wp:docPr id="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62"/>
                    <a:stretch>
                      <a:fillRect/>
                    </a:stretch>
                  </pic:blipFill>
                  <pic:spPr>
                    <a:xfrm>
                      <a:off x="0" y="0"/>
                      <a:ext cx="5270500" cy="2157730"/>
                    </a:xfrm>
                    <a:prstGeom prst="rect">
                      <a:avLst/>
                    </a:prstGeom>
                    <a:noFill/>
                    <a:ln>
                      <a:noFill/>
                    </a:ln>
                  </pic:spPr>
                </pic:pic>
              </a:graphicData>
            </a:graphic>
          </wp:inline>
        </w:drawing>
      </w:r>
    </w:p>
    <w:p>
      <w:pPr>
        <w:pageBreakBefore w:val="0"/>
        <w:widowControl w:val="0"/>
        <w:kinsoku/>
        <w:wordWrap/>
        <w:overflowPunct/>
        <w:autoSpaceDE/>
        <w:autoSpaceDN/>
        <w:bidi w:val="0"/>
        <w:adjustRightInd/>
        <w:snapToGrid/>
        <w:ind w:firstLine="420"/>
        <w:rPr>
          <w:rFonts w:hint="eastAsia"/>
          <w:lang w:val="en-US" w:eastAsia="zh-CN"/>
        </w:rPr>
      </w:pPr>
      <w:r>
        <w:rPr>
          <w:rFonts w:hint="eastAsia" w:ascii="华文仿宋" w:hAnsi="华文仿宋" w:eastAsia="华文仿宋" w:cs="华文仿宋"/>
          <w:kern w:val="2"/>
          <w:sz w:val="28"/>
          <w:szCs w:val="28"/>
          <w:lang w:val="en-US" w:eastAsia="zh-CN" w:bidi="ar-SA"/>
          <w14:ligatures w14:val="standardContextual"/>
        </w:rPr>
        <w:t>5、点击“提交”按钮后等待监督审核，审核通过后将终止公告或废标公告对外公示。</w:t>
      </w:r>
    </w:p>
    <w:p>
      <w:pPr>
        <w:bidi w:val="0"/>
        <w:ind w:left="0" w:leftChars="0" w:firstLine="0" w:firstLineChars="0"/>
        <w:rPr>
          <w:rFonts w:hint="default"/>
          <w:lang w:val="en-US" w:eastAsia="zh-CN"/>
        </w:rPr>
      </w:pPr>
    </w:p>
    <w:p>
      <w:pPr>
        <w:bidi w:val="0"/>
        <w:ind w:left="0" w:leftChars="0" w:firstLine="0" w:firstLineChars="0"/>
        <w:rPr>
          <w:rFonts w:hint="default"/>
          <w:lang w:val="en-US" w:eastAsia="zh-CN"/>
        </w:rPr>
      </w:pPr>
    </w:p>
    <w:p>
      <w:pPr>
        <w:pStyle w:val="2"/>
        <w:numPr>
          <w:ilvl w:val="0"/>
          <w:numId w:val="0"/>
        </w:numPr>
        <w:bidi w:val="0"/>
        <w:ind w:leftChars="0"/>
        <w:rPr>
          <w:rFonts w:hint="eastAsia" w:ascii="华文仿宋" w:hAnsi="华文仿宋" w:eastAsia="华文仿宋" w:cs="华文仿宋"/>
          <w:b/>
          <w:bCs/>
          <w:kern w:val="2"/>
          <w:sz w:val="32"/>
          <w:szCs w:val="32"/>
          <w:lang w:val="en-US" w:eastAsia="zh-CN" w:bidi="ar-SA"/>
          <w14:ligatures w14:val="none"/>
        </w:rPr>
      </w:pPr>
      <w:bookmarkStart w:id="42" w:name="_Toc15862"/>
      <w:r>
        <w:rPr>
          <w:rFonts w:hint="eastAsia" w:ascii="华文仿宋" w:hAnsi="华文仿宋" w:eastAsia="华文仿宋" w:cs="华文仿宋"/>
          <w:b/>
          <w:bCs/>
          <w:kern w:val="2"/>
          <w:sz w:val="32"/>
          <w:szCs w:val="32"/>
          <w:lang w:val="en-US" w:eastAsia="zh-CN" w:bidi="ar-SA"/>
          <w14:ligatures w14:val="none"/>
        </w:rPr>
        <w:t>十三、预审开标</w:t>
      </w:r>
      <w:bookmarkEnd w:id="42"/>
    </w:p>
    <w:p>
      <w:pPr>
        <w:rPr>
          <w:rFonts w:hint="default"/>
          <w:lang w:val="en-US" w:eastAsia="zh-CN"/>
        </w:rPr>
      </w:pPr>
      <w:r>
        <w:rPr>
          <w:rFonts w:hint="eastAsia"/>
          <w:lang w:val="en-US" w:eastAsia="zh-CN"/>
        </w:rPr>
        <w:t>若项目不是预审项目可直接查看“十四、开标”</w:t>
      </w:r>
    </w:p>
    <w:p>
      <w:pPr>
        <w:pStyle w:val="3"/>
        <w:numPr>
          <w:ilvl w:val="1"/>
          <w:numId w:val="0"/>
        </w:numPr>
        <w:bidi w:val="0"/>
        <w:ind w:left="-141" w:leftChars="0"/>
        <w:rPr>
          <w:rFonts w:hint="eastAsia" w:ascii="华文仿宋" w:hAnsi="华文仿宋" w:eastAsia="华文仿宋" w:cs="华文仿宋"/>
          <w:lang w:val="en-US" w:eastAsia="zh-CN"/>
        </w:rPr>
      </w:pPr>
      <w:bookmarkStart w:id="43" w:name="_Toc19054"/>
      <w:r>
        <w:rPr>
          <w:rFonts w:hint="eastAsia" w:ascii="华文仿宋" w:hAnsi="华文仿宋" w:eastAsia="华文仿宋" w:cs="华文仿宋"/>
          <w:lang w:val="en-US" w:eastAsia="zh-CN"/>
        </w:rPr>
        <w:t>（一）开标准备</w:t>
      </w:r>
      <w:bookmarkEnd w:id="43"/>
    </w:p>
    <w:p>
      <w:pPr>
        <w:rPr>
          <w:rFonts w:hint="default"/>
          <w:lang w:val="en-US" w:eastAsia="zh-CN"/>
        </w:rPr>
      </w:pPr>
      <w:r>
        <w:rPr>
          <w:rFonts w:hint="eastAsia"/>
          <w:lang w:val="en-US" w:eastAsia="zh-CN"/>
        </w:rPr>
        <w:t>招标代理需进入济南公共资源交易电子平台，点击左侧菜单的“开标”进入开标列表。找到要开标的预审项目点击进入开标界面。填写项目概况</w:t>
      </w:r>
    </w:p>
    <w:p>
      <w:pPr>
        <w:rPr>
          <w:rFonts w:hint="default"/>
          <w:lang w:val="en-US" w:eastAsia="zh-CN"/>
        </w:rPr>
      </w:pPr>
      <w:r>
        <w:drawing>
          <wp:inline distT="0" distB="0" distL="114300" distR="114300">
            <wp:extent cx="5268595" cy="2637790"/>
            <wp:effectExtent l="0" t="0" r="8255" b="10160"/>
            <wp:docPr id="10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1"/>
                    <pic:cNvPicPr>
                      <a:picLocks noChangeAspect="1"/>
                    </pic:cNvPicPr>
                  </pic:nvPicPr>
                  <pic:blipFill>
                    <a:blip r:embed="rId63"/>
                    <a:stretch>
                      <a:fillRect/>
                    </a:stretch>
                  </pic:blipFill>
                  <pic:spPr>
                    <a:xfrm>
                      <a:off x="0" y="0"/>
                      <a:ext cx="5268595" cy="2637790"/>
                    </a:xfrm>
                    <a:prstGeom prst="rect">
                      <a:avLst/>
                    </a:prstGeom>
                    <a:noFill/>
                    <a:ln>
                      <a:noFill/>
                    </a:ln>
                  </pic:spPr>
                </pic:pic>
              </a:graphicData>
            </a:graphic>
          </wp:inline>
        </w:drawing>
      </w:r>
    </w:p>
    <w:p>
      <w:r>
        <w:drawing>
          <wp:inline distT="0" distB="0" distL="114300" distR="114300">
            <wp:extent cx="5254625" cy="1696720"/>
            <wp:effectExtent l="9525" t="9525" r="22225" b="2413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64"/>
                    <a:stretch>
                      <a:fillRect/>
                    </a:stretch>
                  </pic:blipFill>
                  <pic:spPr>
                    <a:xfrm>
                      <a:off x="0" y="0"/>
                      <a:ext cx="5254625" cy="1696720"/>
                    </a:xfrm>
                    <a:prstGeom prst="rect">
                      <a:avLst/>
                    </a:prstGeom>
                    <a:noFill/>
                    <a:ln w="9525" cap="flat" cmpd="sng">
                      <a:solidFill>
                        <a:srgbClr val="4F81BD"/>
                      </a:solidFill>
                      <a:prstDash val="solid"/>
                      <a:miter/>
                      <a:headEnd type="none" w="med" len="med"/>
                      <a:tailEnd type="none" w="med" len="med"/>
                    </a:ln>
                  </pic:spPr>
                </pic:pic>
              </a:graphicData>
            </a:graphic>
          </wp:inline>
        </w:drawing>
      </w:r>
    </w:p>
    <w:p>
      <w:r>
        <w:drawing>
          <wp:inline distT="0" distB="0" distL="114300" distR="114300">
            <wp:extent cx="5261610" cy="2562225"/>
            <wp:effectExtent l="0" t="0" r="8890" b="952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65"/>
                    <a:stretch>
                      <a:fillRect/>
                    </a:stretch>
                  </pic:blipFill>
                  <pic:spPr>
                    <a:xfrm>
                      <a:off x="0" y="0"/>
                      <a:ext cx="5261610" cy="2562225"/>
                    </a:xfrm>
                    <a:prstGeom prst="rect">
                      <a:avLst/>
                    </a:prstGeom>
                    <a:noFill/>
                    <a:ln>
                      <a:noFill/>
                    </a:ln>
                  </pic:spPr>
                </pic:pic>
              </a:graphicData>
            </a:graphic>
          </wp:inline>
        </w:drawing>
      </w:r>
    </w:p>
    <w:p>
      <w:pPr>
        <w:pStyle w:val="3"/>
        <w:numPr>
          <w:ilvl w:val="1"/>
          <w:numId w:val="0"/>
        </w:numPr>
        <w:bidi w:val="0"/>
        <w:ind w:left="-141" w:leftChars="0"/>
        <w:rPr>
          <w:rFonts w:hint="eastAsia" w:ascii="华文仿宋" w:hAnsi="华文仿宋" w:eastAsia="华文仿宋" w:cs="华文仿宋"/>
          <w:lang w:val="en-US" w:eastAsia="zh-CN"/>
        </w:rPr>
      </w:pPr>
      <w:bookmarkStart w:id="44" w:name="_Toc32636"/>
      <w:r>
        <w:rPr>
          <w:rFonts w:hint="eastAsia" w:ascii="华文仿宋" w:hAnsi="华文仿宋" w:eastAsia="华文仿宋" w:cs="华文仿宋"/>
          <w:lang w:val="en-US" w:eastAsia="zh-CN"/>
        </w:rPr>
        <w:t>（二）开始开标</w:t>
      </w:r>
      <w:bookmarkEnd w:id="44"/>
    </w:p>
    <w:p>
      <w:pPr>
        <w:rPr>
          <w:rFonts w:hint="default"/>
          <w:lang w:val="en-US" w:eastAsia="zh-CN"/>
        </w:rPr>
      </w:pPr>
      <w:r>
        <w:rPr>
          <w:rFonts w:hint="eastAsia"/>
          <w:lang w:val="en-US" w:eastAsia="zh-CN"/>
        </w:rPr>
        <w:t>开标倒计时结束后在“开始开标”节点中点击“启动网上解密”，即可向所有签到单位发起解密申请。</w:t>
      </w:r>
    </w:p>
    <w:p/>
    <w:p>
      <w:pPr>
        <w:rPr>
          <w:rFonts w:hint="eastAsia" w:eastAsia="宋体"/>
          <w:lang w:val="en-US" w:eastAsia="zh-CN"/>
        </w:rPr>
      </w:pPr>
      <w:r>
        <w:rPr>
          <w:rFonts w:hint="eastAsia" w:eastAsia="宋体"/>
          <w:lang w:val="en-US" w:eastAsia="zh-CN"/>
        </w:rPr>
        <w:drawing>
          <wp:inline distT="0" distB="0" distL="114300" distR="114300">
            <wp:extent cx="5261610" cy="2622550"/>
            <wp:effectExtent l="0" t="0" r="8890" b="12700"/>
            <wp:docPr id="51" name="图片 51" descr="企业微信截图_17630992647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企业微信截图_17630992647988"/>
                    <pic:cNvPicPr>
                      <a:picLocks noChangeAspect="1"/>
                    </pic:cNvPicPr>
                  </pic:nvPicPr>
                  <pic:blipFill>
                    <a:blip r:embed="rId66"/>
                    <a:stretch>
                      <a:fillRect/>
                    </a:stretch>
                  </pic:blipFill>
                  <pic:spPr>
                    <a:xfrm>
                      <a:off x="0" y="0"/>
                      <a:ext cx="5261610" cy="2622550"/>
                    </a:xfrm>
                    <a:prstGeom prst="rect">
                      <a:avLst/>
                    </a:prstGeom>
                  </pic:spPr>
                </pic:pic>
              </a:graphicData>
            </a:graphic>
          </wp:inline>
        </w:drawing>
      </w:r>
    </w:p>
    <w:p>
      <w:pPr>
        <w:pStyle w:val="3"/>
        <w:numPr>
          <w:ilvl w:val="1"/>
          <w:numId w:val="0"/>
        </w:numPr>
        <w:bidi w:val="0"/>
        <w:ind w:left="-141" w:leftChars="0"/>
        <w:rPr>
          <w:rFonts w:hint="eastAsia" w:ascii="华文仿宋" w:hAnsi="华文仿宋" w:eastAsia="华文仿宋" w:cs="华文仿宋"/>
          <w:lang w:val="en-US" w:eastAsia="zh-CN"/>
        </w:rPr>
      </w:pPr>
      <w:bookmarkStart w:id="45" w:name="_Toc18527"/>
      <w:r>
        <w:rPr>
          <w:rFonts w:hint="eastAsia" w:ascii="华文仿宋" w:hAnsi="华文仿宋" w:eastAsia="华文仿宋" w:cs="华文仿宋"/>
          <w:lang w:val="en-US" w:eastAsia="zh-CN"/>
        </w:rPr>
        <w:t>（三）解密投标文件</w:t>
      </w:r>
      <w:bookmarkEnd w:id="45"/>
    </w:p>
    <w:p>
      <w:pPr>
        <w:rPr>
          <w:rFonts w:hint="eastAsia"/>
          <w:lang w:val="en-US" w:eastAsia="zh-CN"/>
        </w:rPr>
      </w:pPr>
      <w:r>
        <w:rPr>
          <w:rFonts w:hint="eastAsia"/>
          <w:lang w:val="en-US" w:eastAsia="zh-CN"/>
        </w:rPr>
        <w:t>在解密投标文件界面右上角显示投标人的签到家数、申请解密家数和解密完成家数。</w:t>
      </w:r>
    </w:p>
    <w:p>
      <w:pPr>
        <w:ind w:left="0" w:leftChars="0" w:firstLine="0" w:firstLineChars="0"/>
        <w:rPr>
          <w:rFonts w:hint="eastAsia"/>
          <w:lang w:val="en-US" w:eastAsia="zh-CN"/>
        </w:rPr>
      </w:pPr>
      <w:r>
        <w:rPr>
          <w:rFonts w:hint="eastAsia"/>
          <w:lang w:val="en-US" w:eastAsia="zh-CN"/>
        </w:rPr>
        <w:t>投标单位需在中间解密倒计时结束之前发起解密。招标文件阶段选择有限数量制的项目可根据最终解密家数设置资格预审方式，也可以不修改。</w:t>
      </w:r>
    </w:p>
    <w:p>
      <w:pPr>
        <w:ind w:left="0" w:leftChars="0" w:firstLine="0" w:firstLineChars="0"/>
        <w:rPr>
          <w:rFonts w:hint="default"/>
          <w:lang w:val="en-US" w:eastAsia="zh-CN"/>
        </w:rPr>
      </w:pPr>
    </w:p>
    <w:p>
      <w:pPr>
        <w:rPr>
          <w:rFonts w:hint="eastAsia" w:eastAsia="宋体"/>
          <w:lang w:val="en-US" w:eastAsia="zh-CN"/>
        </w:rPr>
      </w:pPr>
      <w:r>
        <w:rPr>
          <w:rFonts w:hint="eastAsia" w:eastAsia="宋体"/>
          <w:lang w:val="en-US" w:eastAsia="zh-CN"/>
        </w:rPr>
        <w:drawing>
          <wp:inline distT="0" distB="0" distL="114300" distR="114300">
            <wp:extent cx="5261610" cy="1864360"/>
            <wp:effectExtent l="0" t="0" r="8890" b="8890"/>
            <wp:docPr id="53" name="图片 53" descr="企业微信截图_1763099304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企业微信截图_17630993042722"/>
                    <pic:cNvPicPr>
                      <a:picLocks noChangeAspect="1"/>
                    </pic:cNvPicPr>
                  </pic:nvPicPr>
                  <pic:blipFill>
                    <a:blip r:embed="rId67"/>
                    <a:stretch>
                      <a:fillRect/>
                    </a:stretch>
                  </pic:blipFill>
                  <pic:spPr>
                    <a:xfrm>
                      <a:off x="0" y="0"/>
                      <a:ext cx="5261610" cy="1864360"/>
                    </a:xfrm>
                    <a:prstGeom prst="rect">
                      <a:avLst/>
                    </a:prstGeom>
                  </pic:spPr>
                </pic:pic>
              </a:graphicData>
            </a:graphic>
          </wp:inline>
        </w:drawing>
      </w:r>
    </w:p>
    <w:p>
      <w:pPr>
        <w:rPr>
          <w:rFonts w:ascii="宋体" w:hAnsi="宋体" w:eastAsia="宋体" w:cs="宋体"/>
          <w:sz w:val="24"/>
          <w:szCs w:val="24"/>
        </w:rPr>
      </w:pPr>
      <w:r>
        <w:rPr>
          <w:rFonts w:ascii="宋体" w:hAnsi="宋体" w:eastAsia="宋体" w:cs="宋体"/>
          <w:sz w:val="24"/>
          <w:szCs w:val="24"/>
        </w:rPr>
        <w:drawing>
          <wp:inline distT="0" distB="0" distL="114300" distR="114300">
            <wp:extent cx="5095875" cy="2924175"/>
            <wp:effectExtent l="0" t="0" r="0" b="12700"/>
            <wp:docPr id="5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descr="IMG_256"/>
                    <pic:cNvPicPr>
                      <a:picLocks noChangeAspect="1"/>
                    </pic:cNvPicPr>
                  </pic:nvPicPr>
                  <pic:blipFill>
                    <a:blip r:embed="rId68"/>
                    <a:stretch>
                      <a:fillRect/>
                    </a:stretch>
                  </pic:blipFill>
                  <pic:spPr>
                    <a:xfrm>
                      <a:off x="0" y="0"/>
                      <a:ext cx="5095875" cy="2924175"/>
                    </a:xfrm>
                    <a:prstGeom prst="rect">
                      <a:avLst/>
                    </a:prstGeom>
                    <a:noFill/>
                    <a:ln w="9525">
                      <a:noFill/>
                    </a:ln>
                  </pic:spPr>
                </pic:pic>
              </a:graphicData>
            </a:graphic>
          </wp:inline>
        </w:drawing>
      </w:r>
    </w:p>
    <w:p>
      <w:pPr>
        <w:pStyle w:val="3"/>
        <w:numPr>
          <w:ilvl w:val="1"/>
          <w:numId w:val="0"/>
        </w:numPr>
        <w:bidi w:val="0"/>
        <w:ind w:left="-141" w:leftChars="0"/>
      </w:pPr>
      <w:bookmarkStart w:id="46" w:name="_Toc3910"/>
      <w:r>
        <w:rPr>
          <w:rFonts w:hint="eastAsia" w:ascii="华文仿宋" w:hAnsi="华文仿宋" w:eastAsia="华文仿宋" w:cs="华文仿宋"/>
          <w:lang w:val="en-US" w:eastAsia="zh-CN"/>
        </w:rPr>
        <w:t>（四）开标结束</w:t>
      </w:r>
      <w:bookmarkEnd w:id="46"/>
    </w:p>
    <w:p>
      <w:pPr>
        <w:ind w:left="0" w:leftChars="0" w:firstLine="0" w:firstLineChars="0"/>
        <w:rPr>
          <w:rFonts w:hint="eastAsia"/>
          <w:lang w:val="en-US" w:eastAsia="zh-CN"/>
        </w:rPr>
      </w:pPr>
      <w:r>
        <w:rPr>
          <w:rFonts w:hint="eastAsia"/>
          <w:lang w:val="en-US" w:eastAsia="zh-CN"/>
        </w:rPr>
        <w:t>点击开标结束则整个预审开标流程完成。</w:t>
      </w:r>
    </w:p>
    <w:p>
      <w:pP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inline distT="0" distB="0" distL="114300" distR="114300">
            <wp:extent cx="5261610" cy="2622550"/>
            <wp:effectExtent l="0" t="0" r="8890" b="12700"/>
            <wp:docPr id="57" name="图片 57" descr="企业微信截图_17630995326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企业微信截图_17630995326059"/>
                    <pic:cNvPicPr>
                      <a:picLocks noChangeAspect="1"/>
                    </pic:cNvPicPr>
                  </pic:nvPicPr>
                  <pic:blipFill>
                    <a:blip r:embed="rId69"/>
                    <a:stretch>
                      <a:fillRect/>
                    </a:stretch>
                  </pic:blipFill>
                  <pic:spPr>
                    <a:xfrm>
                      <a:off x="0" y="0"/>
                      <a:ext cx="5261610" cy="2622550"/>
                    </a:xfrm>
                    <a:prstGeom prst="rect">
                      <a:avLst/>
                    </a:prstGeom>
                  </pic:spPr>
                </pic:pic>
              </a:graphicData>
            </a:graphic>
          </wp:inline>
        </w:drawing>
      </w:r>
    </w:p>
    <w:p>
      <w:pPr>
        <w:pStyle w:val="2"/>
        <w:numPr>
          <w:ilvl w:val="0"/>
          <w:numId w:val="0"/>
        </w:numPr>
        <w:bidi w:val="0"/>
        <w:ind w:leftChars="0"/>
        <w:rPr>
          <w:rFonts w:hint="eastAsia" w:ascii="华文仿宋" w:hAnsi="华文仿宋" w:eastAsia="华文仿宋" w:cs="华文仿宋"/>
          <w:b/>
          <w:bCs/>
          <w:kern w:val="2"/>
          <w:sz w:val="32"/>
          <w:szCs w:val="32"/>
          <w:lang w:val="en-US" w:eastAsia="zh-CN" w:bidi="ar-SA"/>
          <w14:ligatures w14:val="none"/>
        </w:rPr>
      </w:pPr>
      <w:bookmarkStart w:id="47" w:name="_Toc2255"/>
      <w:r>
        <w:rPr>
          <w:rFonts w:hint="eastAsia" w:ascii="华文仿宋" w:hAnsi="华文仿宋" w:eastAsia="华文仿宋" w:cs="华文仿宋"/>
          <w:b/>
          <w:bCs/>
          <w:kern w:val="2"/>
          <w:sz w:val="32"/>
          <w:szCs w:val="32"/>
          <w:lang w:val="en-US" w:eastAsia="zh-CN" w:bidi="ar-SA"/>
          <w14:ligatures w14:val="none"/>
        </w:rPr>
        <w:t>十四、开标</w:t>
      </w:r>
      <w:bookmarkEnd w:id="47"/>
    </w:p>
    <w:p>
      <w:pPr>
        <w:pStyle w:val="3"/>
        <w:numPr>
          <w:ilvl w:val="1"/>
          <w:numId w:val="0"/>
        </w:numPr>
        <w:bidi w:val="0"/>
        <w:ind w:left="-141" w:leftChars="0"/>
        <w:rPr>
          <w:rFonts w:hint="default" w:ascii="华文仿宋" w:hAnsi="华文仿宋" w:eastAsia="华文仿宋" w:cs="华文仿宋"/>
          <w:lang w:val="en-US" w:eastAsia="zh-CN"/>
        </w:rPr>
      </w:pPr>
      <w:bookmarkStart w:id="48" w:name="_Toc22691"/>
      <w:r>
        <w:rPr>
          <w:rFonts w:hint="eastAsia" w:ascii="华文仿宋" w:hAnsi="华文仿宋" w:eastAsia="华文仿宋" w:cs="华文仿宋"/>
          <w:lang w:val="en-US" w:eastAsia="zh-CN"/>
        </w:rPr>
        <w:t>（一）开标准备</w:t>
      </w:r>
      <w:bookmarkEnd w:id="48"/>
    </w:p>
    <w:p>
      <w:pPr>
        <w:rPr>
          <w:rFonts w:hint="default"/>
          <w:lang w:val="en-US" w:eastAsia="zh-CN"/>
        </w:rPr>
      </w:pPr>
      <w:r>
        <w:rPr>
          <w:rFonts w:hint="eastAsia"/>
          <w:lang w:val="en-US" w:eastAsia="zh-CN"/>
        </w:rPr>
        <w:t>招标代理需进入济南公共资源交易电子平台，点击左侧菜单的“开标”进入开标列表。找到要开标的项目点击进入开标界面。</w:t>
      </w:r>
    </w:p>
    <w:p>
      <w:pPr>
        <w:ind w:left="0" w:leftChars="0" w:firstLine="0" w:firstLineChars="0"/>
        <w:rPr>
          <w:rFonts w:hint="default"/>
          <w:lang w:val="en-US" w:eastAsia="zh-CN"/>
        </w:rPr>
      </w:pPr>
      <w:r>
        <w:drawing>
          <wp:inline distT="0" distB="0" distL="114300" distR="114300">
            <wp:extent cx="5266690" cy="1320800"/>
            <wp:effectExtent l="0" t="0" r="10160" b="12700"/>
            <wp:docPr id="10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2"/>
                    <pic:cNvPicPr>
                      <a:picLocks noChangeAspect="1"/>
                    </pic:cNvPicPr>
                  </pic:nvPicPr>
                  <pic:blipFill>
                    <a:blip r:embed="rId70"/>
                    <a:stretch>
                      <a:fillRect/>
                    </a:stretch>
                  </pic:blipFill>
                  <pic:spPr>
                    <a:xfrm>
                      <a:off x="0" y="0"/>
                      <a:ext cx="5266690" cy="1320800"/>
                    </a:xfrm>
                    <a:prstGeom prst="rect">
                      <a:avLst/>
                    </a:prstGeom>
                    <a:noFill/>
                    <a:ln>
                      <a:noFill/>
                    </a:ln>
                  </pic:spPr>
                </pic:pic>
              </a:graphicData>
            </a:graphic>
          </wp:inline>
        </w:drawing>
      </w:r>
    </w:p>
    <w:p>
      <w:pPr>
        <w:ind w:left="0" w:leftChars="0" w:firstLine="0" w:firstLineChars="0"/>
      </w:pPr>
      <w:r>
        <w:drawing>
          <wp:inline distT="0" distB="0" distL="114300" distR="114300">
            <wp:extent cx="5254625" cy="1697355"/>
            <wp:effectExtent l="9525" t="9525" r="22225" b="23495"/>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71"/>
                    <a:stretch>
                      <a:fillRect/>
                    </a:stretch>
                  </pic:blipFill>
                  <pic:spPr>
                    <a:xfrm>
                      <a:off x="0" y="0"/>
                      <a:ext cx="5254625" cy="1697355"/>
                    </a:xfrm>
                    <a:prstGeom prst="rect">
                      <a:avLst/>
                    </a:prstGeom>
                    <a:noFill/>
                    <a:ln w="9525" cap="flat" cmpd="sng">
                      <a:solidFill>
                        <a:srgbClr val="4F81BD"/>
                      </a:solidFill>
                      <a:prstDash val="solid"/>
                      <a:miter/>
                      <a:headEnd type="none" w="med" len="med"/>
                      <a:tailEnd type="none" w="med" len="med"/>
                    </a:ln>
                  </pic:spPr>
                </pic:pic>
              </a:graphicData>
            </a:graphic>
          </wp:inline>
        </w:drawing>
      </w:r>
    </w:p>
    <w:p>
      <w:pPr>
        <w:ind w:left="0" w:leftChars="0" w:firstLine="0" w:firstLineChars="0"/>
      </w:pPr>
    </w:p>
    <w:p>
      <w:pPr>
        <w:ind w:left="0" w:leftChars="0" w:firstLine="420" w:firstLineChars="200"/>
        <w:rPr>
          <w:rFonts w:hint="default"/>
          <w:lang w:val="en-US" w:eastAsia="zh-CN"/>
        </w:rPr>
      </w:pPr>
      <w:r>
        <w:rPr>
          <w:rFonts w:hint="eastAsia"/>
          <w:lang w:val="en-US" w:eastAsia="zh-CN"/>
        </w:rPr>
        <w:t>点击进入，进入开标界面，填写项目概况信息。</w:t>
      </w:r>
    </w:p>
    <w:p>
      <w:pPr>
        <w:ind w:left="0" w:leftChars="0" w:firstLine="0" w:firstLineChars="0"/>
      </w:pPr>
      <w:r>
        <w:drawing>
          <wp:inline distT="0" distB="0" distL="114300" distR="114300">
            <wp:extent cx="5258435" cy="2558415"/>
            <wp:effectExtent l="0" t="0" r="12065" b="1333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72"/>
                    <a:stretch>
                      <a:fillRect/>
                    </a:stretch>
                  </pic:blipFill>
                  <pic:spPr>
                    <a:xfrm>
                      <a:off x="0" y="0"/>
                      <a:ext cx="5258435" cy="2558415"/>
                    </a:xfrm>
                    <a:prstGeom prst="rect">
                      <a:avLst/>
                    </a:prstGeom>
                    <a:noFill/>
                    <a:ln>
                      <a:noFill/>
                    </a:ln>
                  </pic:spPr>
                </pic:pic>
              </a:graphicData>
            </a:graphic>
          </wp:inline>
        </w:drawing>
      </w:r>
    </w:p>
    <w:p>
      <w:pPr>
        <w:ind w:left="0" w:leftChars="0" w:firstLine="0" w:firstLineChars="0"/>
      </w:pPr>
      <w:r>
        <w:drawing>
          <wp:inline distT="0" distB="0" distL="114300" distR="114300">
            <wp:extent cx="5261610" cy="2562225"/>
            <wp:effectExtent l="0" t="0" r="8890" b="952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65"/>
                    <a:stretch>
                      <a:fillRect/>
                    </a:stretch>
                  </pic:blipFill>
                  <pic:spPr>
                    <a:xfrm>
                      <a:off x="0" y="0"/>
                      <a:ext cx="5261610" cy="2562225"/>
                    </a:xfrm>
                    <a:prstGeom prst="rect">
                      <a:avLst/>
                    </a:prstGeom>
                    <a:noFill/>
                    <a:ln>
                      <a:noFill/>
                    </a:ln>
                  </pic:spPr>
                </pic:pic>
              </a:graphicData>
            </a:graphic>
          </wp:inline>
        </w:drawing>
      </w:r>
    </w:p>
    <w:p>
      <w:pPr>
        <w:pStyle w:val="3"/>
        <w:numPr>
          <w:ilvl w:val="1"/>
          <w:numId w:val="0"/>
        </w:numPr>
        <w:bidi w:val="0"/>
        <w:ind w:left="-141" w:leftChars="0"/>
        <w:rPr>
          <w:rFonts w:hint="eastAsia" w:ascii="华文仿宋" w:hAnsi="华文仿宋" w:eastAsia="华文仿宋" w:cs="华文仿宋"/>
          <w:lang w:val="en-US" w:eastAsia="zh-CN"/>
        </w:rPr>
      </w:pPr>
      <w:bookmarkStart w:id="49" w:name="_Toc32328"/>
      <w:r>
        <w:rPr>
          <w:rFonts w:hint="eastAsia" w:ascii="华文仿宋" w:hAnsi="华文仿宋" w:eastAsia="华文仿宋" w:cs="华文仿宋"/>
          <w:lang w:val="en-US" w:eastAsia="zh-CN"/>
        </w:rPr>
        <w:t>（二）开始开标</w:t>
      </w:r>
      <w:bookmarkEnd w:id="49"/>
    </w:p>
    <w:p>
      <w:pPr>
        <w:rPr>
          <w:rFonts w:hint="default"/>
          <w:lang w:val="en-US" w:eastAsia="zh-CN"/>
        </w:rPr>
      </w:pPr>
      <w:r>
        <w:rPr>
          <w:rFonts w:hint="eastAsia"/>
          <w:lang w:val="en-US" w:eastAsia="zh-CN"/>
        </w:rPr>
        <w:t>开标倒计时结束后在“开始开标”节点中点击“启动网上解密”，即可向所有签到单位发起解密申请。</w:t>
      </w:r>
    </w:p>
    <w:p>
      <w:pPr>
        <w:ind w:left="0" w:leftChars="0" w:firstLine="0" w:firstLineChars="0"/>
      </w:pPr>
      <w:r>
        <w:drawing>
          <wp:inline distT="0" distB="0" distL="114300" distR="114300">
            <wp:extent cx="5261610" cy="2562860"/>
            <wp:effectExtent l="0" t="0" r="8890" b="889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73"/>
                    <a:stretch>
                      <a:fillRect/>
                    </a:stretch>
                  </pic:blipFill>
                  <pic:spPr>
                    <a:xfrm>
                      <a:off x="0" y="0"/>
                      <a:ext cx="5261610" cy="2562860"/>
                    </a:xfrm>
                    <a:prstGeom prst="rect">
                      <a:avLst/>
                    </a:prstGeom>
                    <a:noFill/>
                    <a:ln>
                      <a:noFill/>
                    </a:ln>
                  </pic:spPr>
                </pic:pic>
              </a:graphicData>
            </a:graphic>
          </wp:inline>
        </w:drawing>
      </w:r>
    </w:p>
    <w:p>
      <w:pPr>
        <w:pStyle w:val="3"/>
        <w:numPr>
          <w:ilvl w:val="1"/>
          <w:numId w:val="0"/>
        </w:numPr>
        <w:bidi w:val="0"/>
        <w:ind w:left="-141" w:leftChars="0"/>
        <w:rPr>
          <w:rFonts w:hint="eastAsia" w:ascii="华文仿宋" w:hAnsi="华文仿宋" w:eastAsia="华文仿宋" w:cs="华文仿宋"/>
          <w:lang w:val="en-US" w:eastAsia="zh-CN"/>
        </w:rPr>
      </w:pPr>
      <w:bookmarkStart w:id="50" w:name="_Toc11946"/>
      <w:r>
        <w:rPr>
          <w:rFonts w:hint="eastAsia" w:ascii="华文仿宋" w:hAnsi="华文仿宋" w:eastAsia="华文仿宋" w:cs="华文仿宋"/>
          <w:lang w:val="en-US" w:eastAsia="zh-CN"/>
        </w:rPr>
        <w:t>（三）解密投标文件</w:t>
      </w:r>
      <w:bookmarkEnd w:id="50"/>
    </w:p>
    <w:p>
      <w:pPr>
        <w:rPr>
          <w:rFonts w:hint="eastAsia"/>
          <w:lang w:val="en-US" w:eastAsia="zh-CN"/>
        </w:rPr>
      </w:pPr>
      <w:r>
        <w:rPr>
          <w:rFonts w:hint="eastAsia"/>
          <w:lang w:val="en-US" w:eastAsia="zh-CN"/>
        </w:rPr>
        <w:t>在解密投标文件界面右上角显示投标人的签到家数、申请解密家数和解密完成家数。</w:t>
      </w:r>
    </w:p>
    <w:p>
      <w:pPr>
        <w:ind w:left="0" w:leftChars="0" w:firstLine="0" w:firstLineChars="0"/>
        <w:rPr>
          <w:rFonts w:hint="default"/>
          <w:lang w:val="en-US" w:eastAsia="zh-CN"/>
        </w:rPr>
      </w:pPr>
      <w:r>
        <w:rPr>
          <w:rFonts w:hint="eastAsia"/>
          <w:lang w:val="en-US" w:eastAsia="zh-CN"/>
        </w:rPr>
        <w:t>投标单位需在中间解密倒计时结束之前发起解密，若解密家数符合法定要求，则会显示“启动在线唱标按钮”，点击可进入下一步</w:t>
      </w:r>
    </w:p>
    <w:p>
      <w:pPr>
        <w:ind w:left="0" w:leftChars="0" w:firstLine="0" w:firstLineChars="0"/>
      </w:pPr>
      <w:r>
        <w:drawing>
          <wp:inline distT="0" distB="0" distL="114300" distR="114300">
            <wp:extent cx="5261610" cy="2562225"/>
            <wp:effectExtent l="0" t="0" r="8890" b="9525"/>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74"/>
                    <a:stretch>
                      <a:fillRect/>
                    </a:stretch>
                  </pic:blipFill>
                  <pic:spPr>
                    <a:xfrm>
                      <a:off x="0" y="0"/>
                      <a:ext cx="5261610" cy="2562225"/>
                    </a:xfrm>
                    <a:prstGeom prst="rect">
                      <a:avLst/>
                    </a:prstGeom>
                    <a:noFill/>
                    <a:ln>
                      <a:noFill/>
                    </a:ln>
                  </pic:spPr>
                </pic:pic>
              </a:graphicData>
            </a:graphic>
          </wp:inline>
        </w:drawing>
      </w:r>
    </w:p>
    <w:p>
      <w:pPr>
        <w:pStyle w:val="3"/>
        <w:numPr>
          <w:ilvl w:val="1"/>
          <w:numId w:val="0"/>
        </w:numPr>
        <w:bidi w:val="0"/>
        <w:ind w:left="-141" w:leftChars="0"/>
        <w:rPr>
          <w:rFonts w:hint="eastAsia" w:ascii="华文仿宋" w:hAnsi="华文仿宋" w:eastAsia="华文仿宋" w:cs="华文仿宋"/>
          <w:lang w:val="en-US" w:eastAsia="zh-CN"/>
        </w:rPr>
      </w:pPr>
      <w:bookmarkStart w:id="51" w:name="_Toc22407"/>
      <w:r>
        <w:rPr>
          <w:rFonts w:hint="eastAsia" w:ascii="华文仿宋" w:hAnsi="华文仿宋" w:eastAsia="华文仿宋" w:cs="华文仿宋"/>
          <w:lang w:val="en-US" w:eastAsia="zh-CN"/>
        </w:rPr>
        <w:t>（四）公开唱标</w:t>
      </w:r>
      <w:bookmarkEnd w:id="51"/>
    </w:p>
    <w:p>
      <w:pPr>
        <w:rPr>
          <w:rFonts w:hint="default"/>
          <w:lang w:val="en-US" w:eastAsia="zh-CN"/>
        </w:rPr>
      </w:pPr>
    </w:p>
    <w:p>
      <w:pPr>
        <w:ind w:left="0" w:leftChars="0" w:firstLine="0" w:firstLineChars="0"/>
        <w:rPr>
          <w:rFonts w:hint="default"/>
          <w:lang w:val="en-US" w:eastAsia="zh-CN"/>
        </w:rPr>
      </w:pPr>
      <w:r>
        <w:rPr>
          <w:rFonts w:hint="eastAsia"/>
          <w:lang w:val="en-US" w:eastAsia="zh-CN"/>
        </w:rPr>
        <w:t>.在公开唱标环节，可以看到各单位的唱标单，点击“查看公示内容”可以查看每个单位上传的业绩、获奖、项目班子成员情况。点击唱标结束可进入下一环节</w:t>
      </w:r>
    </w:p>
    <w:p>
      <w:pPr>
        <w:ind w:left="0" w:leftChars="0" w:firstLine="0" w:firstLineChars="0"/>
        <w:rPr>
          <w:rFonts w:hint="default"/>
          <w:lang w:val="en-US" w:eastAsia="zh-CN"/>
        </w:rPr>
      </w:pPr>
    </w:p>
    <w:p>
      <w:pPr>
        <w:ind w:left="0" w:leftChars="0" w:firstLine="0" w:firstLineChars="0"/>
      </w:pPr>
      <w:r>
        <w:drawing>
          <wp:inline distT="0" distB="0" distL="114300" distR="114300">
            <wp:extent cx="5261610" cy="2562860"/>
            <wp:effectExtent l="0" t="0" r="8890" b="8890"/>
            <wp:docPr id="4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pic:cNvPicPr>
                      <a:picLocks noChangeAspect="1"/>
                    </pic:cNvPicPr>
                  </pic:nvPicPr>
                  <pic:blipFill>
                    <a:blip r:embed="rId75"/>
                    <a:stretch>
                      <a:fillRect/>
                    </a:stretch>
                  </pic:blipFill>
                  <pic:spPr>
                    <a:xfrm>
                      <a:off x="0" y="0"/>
                      <a:ext cx="5261610" cy="2562860"/>
                    </a:xfrm>
                    <a:prstGeom prst="rect">
                      <a:avLst/>
                    </a:prstGeom>
                    <a:noFill/>
                    <a:ln>
                      <a:noFill/>
                    </a:ln>
                  </pic:spPr>
                </pic:pic>
              </a:graphicData>
            </a:graphic>
          </wp:inline>
        </w:drawing>
      </w:r>
    </w:p>
    <w:p>
      <w:pPr>
        <w:ind w:left="0" w:leftChars="0" w:firstLine="0" w:firstLineChars="0"/>
      </w:pPr>
      <w:r>
        <w:drawing>
          <wp:inline distT="0" distB="0" distL="114300" distR="114300">
            <wp:extent cx="5261610" cy="2562860"/>
            <wp:effectExtent l="0" t="0" r="8890" b="8890"/>
            <wp:docPr id="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
                    <pic:cNvPicPr>
                      <a:picLocks noChangeAspect="1"/>
                    </pic:cNvPicPr>
                  </pic:nvPicPr>
                  <pic:blipFill>
                    <a:blip r:embed="rId76"/>
                    <a:stretch>
                      <a:fillRect/>
                    </a:stretch>
                  </pic:blipFill>
                  <pic:spPr>
                    <a:xfrm>
                      <a:off x="0" y="0"/>
                      <a:ext cx="5261610" cy="2562860"/>
                    </a:xfrm>
                    <a:prstGeom prst="rect">
                      <a:avLst/>
                    </a:prstGeom>
                    <a:noFill/>
                    <a:ln>
                      <a:noFill/>
                    </a:ln>
                  </pic:spPr>
                </pic:pic>
              </a:graphicData>
            </a:graphic>
          </wp:inline>
        </w:drawing>
      </w:r>
    </w:p>
    <w:p>
      <w:pPr>
        <w:pStyle w:val="3"/>
        <w:numPr>
          <w:ilvl w:val="1"/>
          <w:numId w:val="0"/>
        </w:numPr>
        <w:bidi w:val="0"/>
        <w:ind w:left="-141" w:leftChars="0"/>
        <w:rPr>
          <w:rFonts w:hint="eastAsia" w:ascii="华文仿宋" w:hAnsi="华文仿宋" w:eastAsia="华文仿宋" w:cs="华文仿宋"/>
          <w:lang w:val="en-US" w:eastAsia="zh-CN"/>
        </w:rPr>
      </w:pPr>
      <w:bookmarkStart w:id="52" w:name="_Toc5396"/>
      <w:r>
        <w:rPr>
          <w:rFonts w:hint="eastAsia" w:ascii="华文仿宋" w:hAnsi="华文仿宋" w:eastAsia="华文仿宋" w:cs="华文仿宋"/>
          <w:lang w:val="en-US" w:eastAsia="zh-CN"/>
        </w:rPr>
        <w:t>（五）确认开标信息</w:t>
      </w:r>
      <w:bookmarkEnd w:id="52"/>
    </w:p>
    <w:p>
      <w:pPr>
        <w:rPr>
          <w:rFonts w:hint="default"/>
          <w:lang w:val="en-US" w:eastAsia="zh-CN"/>
        </w:rPr>
      </w:pPr>
      <w:r>
        <w:rPr>
          <w:rFonts w:hint="eastAsia"/>
          <w:lang w:val="en-US" w:eastAsia="zh-CN"/>
        </w:rPr>
        <w:t>系统将向投标人发送开标记录表，五分钟内投标人会自行确认信息是否正确。超过五分钟未确认的单位会自动超时确认。若投标人有异议需及时处理投标人异议.</w:t>
      </w:r>
    </w:p>
    <w:p>
      <w:pPr>
        <w:ind w:left="0" w:leftChars="0" w:firstLine="0" w:firstLineChars="0"/>
      </w:pPr>
    </w:p>
    <w:p>
      <w:pPr>
        <w:ind w:left="0" w:leftChars="0" w:firstLine="0" w:firstLineChars="0"/>
      </w:pPr>
      <w:r>
        <w:drawing>
          <wp:inline distT="0" distB="0" distL="114300" distR="114300">
            <wp:extent cx="5261610" cy="2562860"/>
            <wp:effectExtent l="0" t="0" r="8890" b="8890"/>
            <wp:docPr id="4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pic:cNvPicPr>
                      <a:picLocks noChangeAspect="1"/>
                    </pic:cNvPicPr>
                  </pic:nvPicPr>
                  <pic:blipFill>
                    <a:blip r:embed="rId77"/>
                    <a:stretch>
                      <a:fillRect/>
                    </a:stretch>
                  </pic:blipFill>
                  <pic:spPr>
                    <a:xfrm>
                      <a:off x="0" y="0"/>
                      <a:ext cx="5261610" cy="2562860"/>
                    </a:xfrm>
                    <a:prstGeom prst="rect">
                      <a:avLst/>
                    </a:prstGeom>
                    <a:noFill/>
                    <a:ln>
                      <a:noFill/>
                    </a:ln>
                  </pic:spPr>
                </pic:pic>
              </a:graphicData>
            </a:graphic>
          </wp:inline>
        </w:drawing>
      </w:r>
    </w:p>
    <w:p>
      <w:pPr>
        <w:ind w:left="0" w:leftChars="0" w:firstLine="0" w:firstLineChars="0"/>
      </w:pPr>
      <w:r>
        <w:drawing>
          <wp:inline distT="0" distB="0" distL="114300" distR="114300">
            <wp:extent cx="5261610" cy="2562860"/>
            <wp:effectExtent l="0" t="0" r="8890" b="8890"/>
            <wp:docPr id="4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2"/>
                    <pic:cNvPicPr>
                      <a:picLocks noChangeAspect="1"/>
                    </pic:cNvPicPr>
                  </pic:nvPicPr>
                  <pic:blipFill>
                    <a:blip r:embed="rId78"/>
                    <a:stretch>
                      <a:fillRect/>
                    </a:stretch>
                  </pic:blipFill>
                  <pic:spPr>
                    <a:xfrm>
                      <a:off x="0" y="0"/>
                      <a:ext cx="5261610" cy="2562860"/>
                    </a:xfrm>
                    <a:prstGeom prst="rect">
                      <a:avLst/>
                    </a:prstGeom>
                    <a:noFill/>
                    <a:ln>
                      <a:noFill/>
                    </a:ln>
                  </pic:spPr>
                </pic:pic>
              </a:graphicData>
            </a:graphic>
          </wp:inline>
        </w:drawing>
      </w:r>
    </w:p>
    <w:p>
      <w:pPr>
        <w:pStyle w:val="3"/>
        <w:numPr>
          <w:ilvl w:val="1"/>
          <w:numId w:val="0"/>
        </w:numPr>
        <w:bidi w:val="0"/>
        <w:ind w:left="-141" w:leftChars="0"/>
      </w:pPr>
      <w:bookmarkStart w:id="53" w:name="_Toc16751"/>
      <w:r>
        <w:rPr>
          <w:rFonts w:hint="eastAsia" w:ascii="华文仿宋" w:hAnsi="华文仿宋" w:eastAsia="华文仿宋" w:cs="华文仿宋"/>
          <w:lang w:val="en-US" w:eastAsia="zh-CN"/>
        </w:rPr>
        <w:t>（六）开标结束</w:t>
      </w:r>
      <w:bookmarkEnd w:id="53"/>
    </w:p>
    <w:p>
      <w:pPr>
        <w:ind w:left="0" w:leftChars="0" w:firstLine="0" w:firstLineChars="0"/>
        <w:rPr>
          <w:rFonts w:hint="eastAsia"/>
          <w:lang w:val="en-US" w:eastAsia="zh-CN"/>
        </w:rPr>
      </w:pPr>
      <w:r>
        <w:rPr>
          <w:rFonts w:hint="eastAsia"/>
          <w:lang w:val="en-US" w:eastAsia="zh-CN"/>
        </w:rPr>
        <w:t>五分钟结束后可以点击下载开标记录表，点击开标结束则整个开标流程完成。</w:t>
      </w:r>
    </w:p>
    <w:p>
      <w:pPr>
        <w:ind w:left="0" w:leftChars="0" w:firstLine="0" w:firstLineChars="0"/>
      </w:pPr>
      <w:r>
        <w:drawing>
          <wp:inline distT="0" distB="0" distL="114300" distR="114300">
            <wp:extent cx="5261610" cy="2562860"/>
            <wp:effectExtent l="0" t="0" r="8890" b="8890"/>
            <wp:docPr id="4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3"/>
                    <pic:cNvPicPr>
                      <a:picLocks noChangeAspect="1"/>
                    </pic:cNvPicPr>
                  </pic:nvPicPr>
                  <pic:blipFill>
                    <a:blip r:embed="rId79"/>
                    <a:stretch>
                      <a:fillRect/>
                    </a:stretch>
                  </pic:blipFill>
                  <pic:spPr>
                    <a:xfrm>
                      <a:off x="0" y="0"/>
                      <a:ext cx="5261610" cy="2562860"/>
                    </a:xfrm>
                    <a:prstGeom prst="rect">
                      <a:avLst/>
                    </a:prstGeom>
                    <a:noFill/>
                    <a:ln>
                      <a:noFill/>
                    </a:ln>
                  </pic:spPr>
                </pic:pic>
              </a:graphicData>
            </a:graphic>
          </wp:inline>
        </w:drawing>
      </w:r>
    </w:p>
    <w:p>
      <w:pPr>
        <w:ind w:left="0" w:leftChars="0" w:firstLine="0" w:firstLineChars="0"/>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思源宋体 CN Light">
    <w:altName w:val="宋体"/>
    <w:panose1 w:val="02020300000000000000"/>
    <w:charset w:val="86"/>
    <w:family w:val="roman"/>
    <w:pitch w:val="default"/>
    <w:sig w:usb0="00000000" w:usb1="00000000" w:usb2="00000016" w:usb3="00000000" w:csb0="60060107" w:csb1="00000000"/>
  </w:font>
  <w:font w:name="华文仿宋">
    <w:panose1 w:val="02010600040101010101"/>
    <w:charset w:val="86"/>
    <w:family w:val="auto"/>
    <w:pitch w:val="default"/>
    <w:sig w:usb0="00000287" w:usb1="080F0000" w:usb2="00000000" w:usb3="00000000" w:csb0="0004009F" w:csb1="DFD7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82128A"/>
    <w:multiLevelType w:val="singleLevel"/>
    <w:tmpl w:val="8F82128A"/>
    <w:lvl w:ilvl="0" w:tentative="0">
      <w:start w:val="3"/>
      <w:numFmt w:val="decimal"/>
      <w:suff w:val="nothing"/>
      <w:lvlText w:val="%1、"/>
      <w:lvlJc w:val="left"/>
    </w:lvl>
  </w:abstractNum>
  <w:abstractNum w:abstractNumId="1">
    <w:nsid w:val="B1E3F9B4"/>
    <w:multiLevelType w:val="multilevel"/>
    <w:tmpl w:val="B1E3F9B4"/>
    <w:lvl w:ilvl="0" w:tentative="0">
      <w:start w:val="1"/>
      <w:numFmt w:val="chineseCountingThousand"/>
      <w:pStyle w:val="2"/>
      <w:lvlText w:val="%1、"/>
      <w:lvlJc w:val="left"/>
      <w:pPr>
        <w:ind w:left="432" w:hanging="432"/>
      </w:pPr>
      <w:rPr>
        <w:rFonts w:hint="eastAsia"/>
        <w:color w:val="auto"/>
      </w:rPr>
    </w:lvl>
    <w:lvl w:ilvl="1" w:tentative="0">
      <w:start w:val="1"/>
      <w:numFmt w:val="decimal"/>
      <w:pStyle w:val="3"/>
      <w:isLgl/>
      <w:lvlText w:val="%1.%2  "/>
      <w:lvlJc w:val="left"/>
      <w:pPr>
        <w:ind w:left="435" w:hanging="576"/>
      </w:pPr>
      <w:rPr>
        <w:rFonts w:hint="eastAsia" w:ascii="宋体" w:hAnsi="宋体" w:eastAsia="宋体" w:cs="宋体"/>
      </w:rPr>
    </w:lvl>
    <w:lvl w:ilvl="2" w:tentative="0">
      <w:start w:val="1"/>
      <w:numFmt w:val="decimal"/>
      <w:isLgl/>
      <w:lvlText w:val="%1.%2.%3  "/>
      <w:lvlJc w:val="left"/>
      <w:pPr>
        <w:ind w:left="1134" w:firstLine="1"/>
      </w:pPr>
      <w:rPr>
        <w:rFonts w:hint="eastAsia" w:ascii="宋体" w:hAnsi="宋体" w:eastAsia="宋体" w:cs="宋体"/>
      </w:rPr>
    </w:lvl>
    <w:lvl w:ilvl="3" w:tentative="0">
      <w:start w:val="1"/>
      <w:numFmt w:val="decimal"/>
      <w:isLgl/>
      <w:lvlText w:val="%1.%2.%3.%4、"/>
      <w:lvlJc w:val="left"/>
      <w:pPr>
        <w:ind w:left="723" w:hanging="864"/>
      </w:pPr>
      <w:rPr>
        <w:rFonts w:hint="eastAsia"/>
      </w:rPr>
    </w:lvl>
    <w:lvl w:ilvl="4" w:tentative="0">
      <w:start w:val="1"/>
      <w:numFmt w:val="decimal"/>
      <w:isLgl/>
      <w:lvlText w:val="%1.%2.%3.%4.%5、"/>
      <w:lvlJc w:val="left"/>
      <w:pPr>
        <w:ind w:left="867" w:hanging="1008"/>
      </w:pPr>
      <w:rPr>
        <w:rFonts w:hint="eastAsia"/>
      </w:rPr>
    </w:lvl>
    <w:lvl w:ilvl="5" w:tentative="0">
      <w:start w:val="1"/>
      <w:numFmt w:val="decimal"/>
      <w:isLgl/>
      <w:lvlText w:val="%1.%2.%3.%4.%5.%6、"/>
      <w:lvlJc w:val="left"/>
      <w:pPr>
        <w:ind w:left="1011" w:hanging="1152"/>
      </w:pPr>
      <w:rPr>
        <w:rFonts w:hint="eastAsia"/>
      </w:rPr>
    </w:lvl>
    <w:lvl w:ilvl="6" w:tentative="0">
      <w:start w:val="1"/>
      <w:numFmt w:val="decimal"/>
      <w:lvlText w:val="%1.%2.%3.%4.%5.%6.%7"/>
      <w:lvlJc w:val="left"/>
      <w:pPr>
        <w:ind w:left="1155" w:hanging="1296"/>
      </w:pPr>
      <w:rPr>
        <w:rFonts w:hint="eastAsia"/>
      </w:rPr>
    </w:lvl>
    <w:lvl w:ilvl="7" w:tentative="0">
      <w:start w:val="1"/>
      <w:numFmt w:val="decimal"/>
      <w:lvlText w:val="%1.%2.%3.%4.%5.%6.%7.%8"/>
      <w:lvlJc w:val="left"/>
      <w:pPr>
        <w:ind w:left="1299" w:hanging="1440"/>
      </w:pPr>
      <w:rPr>
        <w:rFonts w:hint="eastAsia"/>
      </w:rPr>
    </w:lvl>
    <w:lvl w:ilvl="8" w:tentative="0">
      <w:start w:val="1"/>
      <w:numFmt w:val="decimal"/>
      <w:lvlText w:val="%1.%2.%3.%4.%5.%6.%7.%8.%9"/>
      <w:lvlJc w:val="left"/>
      <w:pPr>
        <w:ind w:left="1443" w:hanging="1584"/>
      </w:pPr>
      <w:rPr>
        <w:rFonts w:hint="eastAsia"/>
      </w:rPr>
    </w:lvl>
  </w:abstractNum>
  <w:abstractNum w:abstractNumId="2">
    <w:nsid w:val="C4E09B80"/>
    <w:multiLevelType w:val="singleLevel"/>
    <w:tmpl w:val="C4E09B80"/>
    <w:lvl w:ilvl="0" w:tentative="0">
      <w:start w:val="3"/>
      <w:numFmt w:val="decimal"/>
      <w:suff w:val="nothing"/>
      <w:lvlText w:val="（%1）"/>
      <w:lvlJc w:val="left"/>
      <w:pPr>
        <w:ind w:left="-10"/>
      </w:pPr>
    </w:lvl>
  </w:abstractNum>
  <w:abstractNum w:abstractNumId="3">
    <w:nsid w:val="C64C068C"/>
    <w:multiLevelType w:val="singleLevel"/>
    <w:tmpl w:val="C64C068C"/>
    <w:lvl w:ilvl="0" w:tentative="0">
      <w:start w:val="1"/>
      <w:numFmt w:val="decimal"/>
      <w:suff w:val="nothing"/>
      <w:lvlText w:val="%1、"/>
      <w:lvlJc w:val="left"/>
    </w:lvl>
  </w:abstractNum>
  <w:abstractNum w:abstractNumId="4">
    <w:nsid w:val="CFE51FD3"/>
    <w:multiLevelType w:val="multilevel"/>
    <w:tmpl w:val="CFE51FD3"/>
    <w:lvl w:ilvl="0" w:tentative="0">
      <w:start w:val="1"/>
      <w:numFmt w:val="chineseCountingThousand"/>
      <w:suff w:val="nothing"/>
      <w:lvlText w:val="%1、"/>
      <w:lvlJc w:val="left"/>
      <w:pPr>
        <w:ind w:left="425" w:hanging="425"/>
      </w:pPr>
      <w:rPr>
        <w:rFonts w:hint="eastAsia" w:ascii="宋体" w:hAnsi="宋体" w:eastAsia="宋体"/>
      </w:rPr>
    </w:lvl>
    <w:lvl w:ilvl="1" w:tentative="0">
      <w:start w:val="1"/>
      <w:numFmt w:val="decimal"/>
      <w:isLgl/>
      <w:suff w:val="nothing"/>
      <w:lvlText w:val="%1.%2  "/>
      <w:lvlJc w:val="left"/>
      <w:pPr>
        <w:tabs>
          <w:tab w:val="left" w:pos="0"/>
        </w:tabs>
        <w:ind w:left="567" w:hanging="567"/>
      </w:pPr>
      <w:rPr>
        <w:rFonts w:hint="eastAsia" w:ascii="宋体" w:hAnsi="宋体" w:eastAsia="宋体" w:cs="宋体"/>
      </w:rPr>
    </w:lvl>
    <w:lvl w:ilvl="2" w:tentative="0">
      <w:start w:val="1"/>
      <w:numFmt w:val="decimal"/>
      <w:isLgl/>
      <w:suff w:val="nothing"/>
      <w:lvlText w:val="%1.%2.%3、"/>
      <w:lvlJc w:val="left"/>
      <w:pPr>
        <w:ind w:left="1069" w:hanging="1069"/>
      </w:pPr>
      <w:rPr>
        <w:rFonts w:hint="eastAsia" w:ascii="宋体" w:hAnsi="宋体" w:eastAsia="宋体" w:cs="Arial"/>
      </w:rPr>
    </w:lvl>
    <w:lvl w:ilvl="3" w:tentative="0">
      <w:start w:val="1"/>
      <w:numFmt w:val="decimal"/>
      <w:isLgl/>
      <w:suff w:val="nothing"/>
      <w:lvlText w:val="%1.%2.%3.%4、"/>
      <w:lvlJc w:val="left"/>
      <w:pPr>
        <w:ind w:left="851" w:hanging="851"/>
      </w:pPr>
      <w:rPr>
        <w:rFonts w:hint="eastAsia" w:ascii="宋体" w:hAnsi="宋体" w:eastAsia="宋体" w:cs="Arial"/>
        <w:sz w:val="28"/>
        <w:szCs w:val="28"/>
      </w:rPr>
    </w:lvl>
    <w:lvl w:ilvl="4" w:tentative="0">
      <w:start w:val="1"/>
      <w:numFmt w:val="decimal"/>
      <w:isLgl/>
      <w:suff w:val="nothing"/>
      <w:lvlText w:val="%1.%2.%3.%4.%5、"/>
      <w:lvlJc w:val="left"/>
      <w:pPr>
        <w:ind w:left="992" w:hanging="992"/>
      </w:pPr>
      <w:rPr>
        <w:rFonts w:hint="eastAsia" w:ascii="宋体" w:hAnsi="宋体" w:eastAsia="宋体"/>
      </w:rPr>
    </w:lvl>
    <w:lvl w:ilvl="5" w:tentative="0">
      <w:start w:val="1"/>
      <w:numFmt w:val="decimal"/>
      <w:isLgl/>
      <w:suff w:val="nothing"/>
      <w:lvlText w:val="%1.%2.%3.%4.%5.%6、"/>
      <w:lvlJc w:val="left"/>
      <w:pPr>
        <w:ind w:left="1134" w:hanging="1134"/>
      </w:pPr>
      <w:rPr>
        <w:rFonts w:hint="eastAsia" w:ascii="宋体" w:hAnsi="宋体" w:eastAsia="宋体"/>
      </w:rPr>
    </w:lvl>
    <w:lvl w:ilvl="6" w:tentative="0">
      <w:start w:val="1"/>
      <w:numFmt w:val="decimal"/>
      <w:isLgl/>
      <w:lvlText w:val="%1.%2.%3.%4.%5.%6.%7"/>
      <w:lvlJc w:val="left"/>
      <w:pPr>
        <w:tabs>
          <w:tab w:val="left" w:pos="1800"/>
        </w:tabs>
        <w:ind w:left="1276" w:hanging="1276"/>
      </w:pPr>
      <w:rPr>
        <w:rFonts w:hint="eastAsia" w:ascii="宋体" w:hAnsi="宋体" w:eastAsia="宋体"/>
      </w:rPr>
    </w:lvl>
    <w:lvl w:ilvl="7" w:tentative="0">
      <w:start w:val="1"/>
      <w:numFmt w:val="decimal"/>
      <w:isLgl/>
      <w:lvlText w:val="%1.%2.%3.%4.%5.%6.%7.%8"/>
      <w:lvlJc w:val="left"/>
      <w:pPr>
        <w:tabs>
          <w:tab w:val="left" w:pos="1800"/>
        </w:tabs>
        <w:ind w:left="1418" w:hanging="1418"/>
      </w:pPr>
      <w:rPr>
        <w:rFonts w:hint="eastAsia" w:ascii="宋体" w:hAnsi="宋体" w:eastAsia="宋体"/>
      </w:rPr>
    </w:lvl>
    <w:lvl w:ilvl="8" w:tentative="0">
      <w:start w:val="1"/>
      <w:numFmt w:val="decimal"/>
      <w:isLgl/>
      <w:lvlText w:val="%1.%2.%3.%4.%5.%6.%7.%8.%9"/>
      <w:lvlJc w:val="left"/>
      <w:pPr>
        <w:tabs>
          <w:tab w:val="left" w:pos="2160"/>
        </w:tabs>
        <w:ind w:left="1559" w:hanging="1559"/>
      </w:pPr>
      <w:rPr>
        <w:rFonts w:hint="eastAsia" w:ascii="宋体" w:hAnsi="宋体" w:eastAsia="宋体"/>
      </w:rPr>
    </w:lvl>
  </w:abstractNum>
  <w:abstractNum w:abstractNumId="5">
    <w:nsid w:val="D5CB18DA"/>
    <w:multiLevelType w:val="singleLevel"/>
    <w:tmpl w:val="D5CB18DA"/>
    <w:lvl w:ilvl="0" w:tentative="0">
      <w:start w:val="1"/>
      <w:numFmt w:val="bullet"/>
      <w:lvlText w:val=""/>
      <w:lvlJc w:val="left"/>
      <w:pPr>
        <w:ind w:left="420" w:hanging="420"/>
      </w:pPr>
      <w:rPr>
        <w:rFonts w:hint="default" w:ascii="Wingdings" w:hAnsi="Wingdings"/>
      </w:rPr>
    </w:lvl>
  </w:abstractNum>
  <w:abstractNum w:abstractNumId="6">
    <w:nsid w:val="D9F08AC3"/>
    <w:multiLevelType w:val="singleLevel"/>
    <w:tmpl w:val="D9F08AC3"/>
    <w:lvl w:ilvl="0" w:tentative="0">
      <w:start w:val="2"/>
      <w:numFmt w:val="decimal"/>
      <w:suff w:val="nothing"/>
      <w:lvlText w:val="（%1）"/>
      <w:lvlJc w:val="left"/>
    </w:lvl>
  </w:abstractNum>
  <w:abstractNum w:abstractNumId="7">
    <w:nsid w:val="E23EE666"/>
    <w:multiLevelType w:val="singleLevel"/>
    <w:tmpl w:val="E23EE666"/>
    <w:lvl w:ilvl="0" w:tentative="0">
      <w:start w:val="1"/>
      <w:numFmt w:val="decimal"/>
      <w:suff w:val="nothing"/>
      <w:lvlText w:val="%1、"/>
      <w:lvlJc w:val="left"/>
    </w:lvl>
  </w:abstractNum>
  <w:abstractNum w:abstractNumId="8">
    <w:nsid w:val="E513FA5A"/>
    <w:multiLevelType w:val="singleLevel"/>
    <w:tmpl w:val="E513FA5A"/>
    <w:lvl w:ilvl="0" w:tentative="0">
      <w:start w:val="1"/>
      <w:numFmt w:val="decimal"/>
      <w:suff w:val="nothing"/>
      <w:lvlText w:val="%1、"/>
      <w:lvlJc w:val="left"/>
    </w:lvl>
  </w:abstractNum>
  <w:abstractNum w:abstractNumId="9">
    <w:nsid w:val="0E46F1F1"/>
    <w:multiLevelType w:val="singleLevel"/>
    <w:tmpl w:val="0E46F1F1"/>
    <w:lvl w:ilvl="0" w:tentative="0">
      <w:start w:val="1"/>
      <w:numFmt w:val="decimal"/>
      <w:suff w:val="nothing"/>
      <w:lvlText w:val="（%1）"/>
      <w:lvlJc w:val="left"/>
    </w:lvl>
  </w:abstractNum>
  <w:abstractNum w:abstractNumId="10">
    <w:nsid w:val="202CB068"/>
    <w:multiLevelType w:val="singleLevel"/>
    <w:tmpl w:val="202CB068"/>
    <w:lvl w:ilvl="0" w:tentative="0">
      <w:start w:val="1"/>
      <w:numFmt w:val="decimal"/>
      <w:suff w:val="nothing"/>
      <w:lvlText w:val="（%1）"/>
      <w:lvlJc w:val="left"/>
    </w:lvl>
  </w:abstractNum>
  <w:abstractNum w:abstractNumId="11">
    <w:nsid w:val="64D5A6F2"/>
    <w:multiLevelType w:val="singleLevel"/>
    <w:tmpl w:val="64D5A6F2"/>
    <w:lvl w:ilvl="0" w:tentative="0">
      <w:start w:val="1"/>
      <w:numFmt w:val="decimal"/>
      <w:suff w:val="nothing"/>
      <w:lvlText w:val="%1、"/>
      <w:lvlJc w:val="left"/>
    </w:lvl>
  </w:abstractNum>
  <w:abstractNum w:abstractNumId="12">
    <w:nsid w:val="799B24C8"/>
    <w:multiLevelType w:val="singleLevel"/>
    <w:tmpl w:val="799B24C8"/>
    <w:lvl w:ilvl="0" w:tentative="0">
      <w:start w:val="2"/>
      <w:numFmt w:val="decimal"/>
      <w:suff w:val="nothing"/>
      <w:lvlText w:val="%1、"/>
      <w:lvlJc w:val="left"/>
    </w:lvl>
  </w:abstractNum>
  <w:num w:numId="1">
    <w:abstractNumId w:val="1"/>
  </w:num>
  <w:num w:numId="2">
    <w:abstractNumId w:val="4"/>
  </w:num>
  <w:num w:numId="3">
    <w:abstractNumId w:val="8"/>
  </w:num>
  <w:num w:numId="4">
    <w:abstractNumId w:val="0"/>
  </w:num>
  <w:num w:numId="5">
    <w:abstractNumId w:val="3"/>
  </w:num>
  <w:num w:numId="6">
    <w:abstractNumId w:val="2"/>
  </w:num>
  <w:num w:numId="7">
    <w:abstractNumId w:val="5"/>
  </w:num>
  <w:num w:numId="8">
    <w:abstractNumId w:val="12"/>
  </w:num>
  <w:num w:numId="9">
    <w:abstractNumId w:val="9"/>
  </w:num>
  <w:num w:numId="10">
    <w:abstractNumId w:val="11"/>
  </w:num>
  <w:num w:numId="11">
    <w:abstractNumId w:val="6"/>
  </w:num>
  <w:num w:numId="12">
    <w:abstractNumId w:val="10"/>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NiNTVlOWIwNmQzZGNjM2JmNTc3NjY1NjZiZWY2YjkifQ=="/>
  </w:docVars>
  <w:rsids>
    <w:rsidRoot w:val="042043A4"/>
    <w:rsid w:val="00327CB1"/>
    <w:rsid w:val="004958E1"/>
    <w:rsid w:val="006058C6"/>
    <w:rsid w:val="006875A4"/>
    <w:rsid w:val="00926437"/>
    <w:rsid w:val="00E928C0"/>
    <w:rsid w:val="00F76363"/>
    <w:rsid w:val="01103C64"/>
    <w:rsid w:val="012449B6"/>
    <w:rsid w:val="013C08C1"/>
    <w:rsid w:val="01416EE4"/>
    <w:rsid w:val="014B3705"/>
    <w:rsid w:val="016025FC"/>
    <w:rsid w:val="016814B1"/>
    <w:rsid w:val="016F2403"/>
    <w:rsid w:val="018A7679"/>
    <w:rsid w:val="01D20425"/>
    <w:rsid w:val="01F864D6"/>
    <w:rsid w:val="02025461"/>
    <w:rsid w:val="020A2568"/>
    <w:rsid w:val="022125E7"/>
    <w:rsid w:val="02240624"/>
    <w:rsid w:val="02540085"/>
    <w:rsid w:val="027E05F6"/>
    <w:rsid w:val="0284193E"/>
    <w:rsid w:val="02857988"/>
    <w:rsid w:val="02C62933"/>
    <w:rsid w:val="02EF3099"/>
    <w:rsid w:val="03045209"/>
    <w:rsid w:val="03272623"/>
    <w:rsid w:val="03764B4A"/>
    <w:rsid w:val="03DE27F7"/>
    <w:rsid w:val="03FB660C"/>
    <w:rsid w:val="04023458"/>
    <w:rsid w:val="04043557"/>
    <w:rsid w:val="042043A4"/>
    <w:rsid w:val="04401B3D"/>
    <w:rsid w:val="044B0BB3"/>
    <w:rsid w:val="045E16C2"/>
    <w:rsid w:val="0466617C"/>
    <w:rsid w:val="04783517"/>
    <w:rsid w:val="04876C93"/>
    <w:rsid w:val="048E122E"/>
    <w:rsid w:val="04D40FA8"/>
    <w:rsid w:val="04E6106A"/>
    <w:rsid w:val="05167723"/>
    <w:rsid w:val="05207EA6"/>
    <w:rsid w:val="053648B0"/>
    <w:rsid w:val="05372447"/>
    <w:rsid w:val="055B06E7"/>
    <w:rsid w:val="056E08C6"/>
    <w:rsid w:val="058638C0"/>
    <w:rsid w:val="05AB2101"/>
    <w:rsid w:val="05B6499C"/>
    <w:rsid w:val="05D07AA0"/>
    <w:rsid w:val="05E22C45"/>
    <w:rsid w:val="063474FD"/>
    <w:rsid w:val="063A3F32"/>
    <w:rsid w:val="0653179E"/>
    <w:rsid w:val="06556151"/>
    <w:rsid w:val="065C3598"/>
    <w:rsid w:val="0671143B"/>
    <w:rsid w:val="06756E64"/>
    <w:rsid w:val="067C362B"/>
    <w:rsid w:val="067C5011"/>
    <w:rsid w:val="06824DC3"/>
    <w:rsid w:val="06977A52"/>
    <w:rsid w:val="06A330D6"/>
    <w:rsid w:val="06ED3D49"/>
    <w:rsid w:val="06F85085"/>
    <w:rsid w:val="06F97A84"/>
    <w:rsid w:val="07121B0D"/>
    <w:rsid w:val="072702BE"/>
    <w:rsid w:val="073A6B33"/>
    <w:rsid w:val="074A4115"/>
    <w:rsid w:val="07692055"/>
    <w:rsid w:val="077227F5"/>
    <w:rsid w:val="07A6358C"/>
    <w:rsid w:val="07B020AC"/>
    <w:rsid w:val="07BD4105"/>
    <w:rsid w:val="08073A60"/>
    <w:rsid w:val="08474155"/>
    <w:rsid w:val="08482C5C"/>
    <w:rsid w:val="085966AC"/>
    <w:rsid w:val="087B405D"/>
    <w:rsid w:val="089F5554"/>
    <w:rsid w:val="08A47272"/>
    <w:rsid w:val="08A84A91"/>
    <w:rsid w:val="08E57A97"/>
    <w:rsid w:val="090B7DC7"/>
    <w:rsid w:val="091E3D56"/>
    <w:rsid w:val="091F4B4B"/>
    <w:rsid w:val="0988417B"/>
    <w:rsid w:val="09C53944"/>
    <w:rsid w:val="09E71B0D"/>
    <w:rsid w:val="09F726B4"/>
    <w:rsid w:val="0A0C50B2"/>
    <w:rsid w:val="0A0F009B"/>
    <w:rsid w:val="0A143E08"/>
    <w:rsid w:val="0A3F4A61"/>
    <w:rsid w:val="0A993FB1"/>
    <w:rsid w:val="0ACB31DC"/>
    <w:rsid w:val="0AD33FFD"/>
    <w:rsid w:val="0ADD6A6C"/>
    <w:rsid w:val="0B147F71"/>
    <w:rsid w:val="0B3379CF"/>
    <w:rsid w:val="0B505792"/>
    <w:rsid w:val="0B555793"/>
    <w:rsid w:val="0B7E024F"/>
    <w:rsid w:val="0BA37872"/>
    <w:rsid w:val="0BB440E1"/>
    <w:rsid w:val="0C07575C"/>
    <w:rsid w:val="0C5F0CA7"/>
    <w:rsid w:val="0C836647"/>
    <w:rsid w:val="0CCD15CC"/>
    <w:rsid w:val="0CCE0D2E"/>
    <w:rsid w:val="0CEC743A"/>
    <w:rsid w:val="0CFA798D"/>
    <w:rsid w:val="0D10137A"/>
    <w:rsid w:val="0D1F07B3"/>
    <w:rsid w:val="0D597A42"/>
    <w:rsid w:val="0D8E4DD9"/>
    <w:rsid w:val="0DBE0DD6"/>
    <w:rsid w:val="0DC36687"/>
    <w:rsid w:val="0DF26CD2"/>
    <w:rsid w:val="0E0E7739"/>
    <w:rsid w:val="0E297097"/>
    <w:rsid w:val="0E77780C"/>
    <w:rsid w:val="0E8A7BC0"/>
    <w:rsid w:val="0E974848"/>
    <w:rsid w:val="0EC77399"/>
    <w:rsid w:val="0ECF1F00"/>
    <w:rsid w:val="0EE859DF"/>
    <w:rsid w:val="0EF97BEC"/>
    <w:rsid w:val="0F0E3730"/>
    <w:rsid w:val="0F4C5781"/>
    <w:rsid w:val="0F5F2145"/>
    <w:rsid w:val="0F6A37E7"/>
    <w:rsid w:val="0F84395A"/>
    <w:rsid w:val="0F962B0F"/>
    <w:rsid w:val="0FA93012"/>
    <w:rsid w:val="0FBC5895"/>
    <w:rsid w:val="0FF860F6"/>
    <w:rsid w:val="0FF876FE"/>
    <w:rsid w:val="10382597"/>
    <w:rsid w:val="10477862"/>
    <w:rsid w:val="104F5AD1"/>
    <w:rsid w:val="10594627"/>
    <w:rsid w:val="109A3AB6"/>
    <w:rsid w:val="10AA5642"/>
    <w:rsid w:val="10DF7836"/>
    <w:rsid w:val="113B4267"/>
    <w:rsid w:val="11A405D2"/>
    <w:rsid w:val="11AC41D7"/>
    <w:rsid w:val="11B05467"/>
    <w:rsid w:val="11C96578"/>
    <w:rsid w:val="11D745C7"/>
    <w:rsid w:val="11FB0620"/>
    <w:rsid w:val="120032F3"/>
    <w:rsid w:val="1217350D"/>
    <w:rsid w:val="122028A6"/>
    <w:rsid w:val="125C0BBE"/>
    <w:rsid w:val="12617F82"/>
    <w:rsid w:val="127B7042"/>
    <w:rsid w:val="12CF2B53"/>
    <w:rsid w:val="131E414A"/>
    <w:rsid w:val="132E3367"/>
    <w:rsid w:val="13850EB4"/>
    <w:rsid w:val="1387702A"/>
    <w:rsid w:val="13A27A23"/>
    <w:rsid w:val="140B4550"/>
    <w:rsid w:val="14102177"/>
    <w:rsid w:val="14411837"/>
    <w:rsid w:val="144D3595"/>
    <w:rsid w:val="1463591C"/>
    <w:rsid w:val="146B7F7D"/>
    <w:rsid w:val="147C0779"/>
    <w:rsid w:val="147E48FA"/>
    <w:rsid w:val="14810EC6"/>
    <w:rsid w:val="14A82CAD"/>
    <w:rsid w:val="14AB54F6"/>
    <w:rsid w:val="14F63F32"/>
    <w:rsid w:val="15082937"/>
    <w:rsid w:val="154E324D"/>
    <w:rsid w:val="15751F15"/>
    <w:rsid w:val="157C5F2B"/>
    <w:rsid w:val="15990CA4"/>
    <w:rsid w:val="15B12FCF"/>
    <w:rsid w:val="15BB34FB"/>
    <w:rsid w:val="15D67D9C"/>
    <w:rsid w:val="1610544C"/>
    <w:rsid w:val="162A05C8"/>
    <w:rsid w:val="162F7B89"/>
    <w:rsid w:val="1633430E"/>
    <w:rsid w:val="16797F90"/>
    <w:rsid w:val="167B79FB"/>
    <w:rsid w:val="16904827"/>
    <w:rsid w:val="16DA7F3D"/>
    <w:rsid w:val="16DF2D5A"/>
    <w:rsid w:val="17052882"/>
    <w:rsid w:val="170F26A3"/>
    <w:rsid w:val="17143815"/>
    <w:rsid w:val="175516FD"/>
    <w:rsid w:val="175F20BD"/>
    <w:rsid w:val="17697684"/>
    <w:rsid w:val="17B61D19"/>
    <w:rsid w:val="17BA4F3A"/>
    <w:rsid w:val="17E23913"/>
    <w:rsid w:val="18130B49"/>
    <w:rsid w:val="18882F4F"/>
    <w:rsid w:val="188C24EC"/>
    <w:rsid w:val="18F9689A"/>
    <w:rsid w:val="191B532F"/>
    <w:rsid w:val="196B7760"/>
    <w:rsid w:val="197742E3"/>
    <w:rsid w:val="19BF28B1"/>
    <w:rsid w:val="19D91C69"/>
    <w:rsid w:val="19DC2629"/>
    <w:rsid w:val="1A59445E"/>
    <w:rsid w:val="1A5E2FB2"/>
    <w:rsid w:val="1A642D06"/>
    <w:rsid w:val="1A912351"/>
    <w:rsid w:val="1AB1475E"/>
    <w:rsid w:val="1AEF3F25"/>
    <w:rsid w:val="1AFE3DCF"/>
    <w:rsid w:val="1B122762"/>
    <w:rsid w:val="1B18320E"/>
    <w:rsid w:val="1B19379D"/>
    <w:rsid w:val="1B1E40A9"/>
    <w:rsid w:val="1B45446A"/>
    <w:rsid w:val="1B9112D4"/>
    <w:rsid w:val="1BD47A17"/>
    <w:rsid w:val="1BF64012"/>
    <w:rsid w:val="1C137D70"/>
    <w:rsid w:val="1C1C443F"/>
    <w:rsid w:val="1C327A85"/>
    <w:rsid w:val="1C4A1ECF"/>
    <w:rsid w:val="1C502276"/>
    <w:rsid w:val="1C5838E6"/>
    <w:rsid w:val="1C7134B8"/>
    <w:rsid w:val="1C7727DD"/>
    <w:rsid w:val="1C7D4844"/>
    <w:rsid w:val="1CB10F0F"/>
    <w:rsid w:val="1D044B4C"/>
    <w:rsid w:val="1D0C3151"/>
    <w:rsid w:val="1DCD471E"/>
    <w:rsid w:val="1E342468"/>
    <w:rsid w:val="1E433E58"/>
    <w:rsid w:val="1E52084A"/>
    <w:rsid w:val="1E810942"/>
    <w:rsid w:val="1E926FD5"/>
    <w:rsid w:val="1F506BBD"/>
    <w:rsid w:val="1F681AC2"/>
    <w:rsid w:val="1F687D89"/>
    <w:rsid w:val="1F9F0F29"/>
    <w:rsid w:val="1FA83A1B"/>
    <w:rsid w:val="1FAB661A"/>
    <w:rsid w:val="1FAC13C9"/>
    <w:rsid w:val="1FDE302C"/>
    <w:rsid w:val="20186E20"/>
    <w:rsid w:val="20353B42"/>
    <w:rsid w:val="203601AB"/>
    <w:rsid w:val="203E07CD"/>
    <w:rsid w:val="20790517"/>
    <w:rsid w:val="20996958"/>
    <w:rsid w:val="20EB31FD"/>
    <w:rsid w:val="21254716"/>
    <w:rsid w:val="217010C5"/>
    <w:rsid w:val="218C74F3"/>
    <w:rsid w:val="21924ACF"/>
    <w:rsid w:val="219877E5"/>
    <w:rsid w:val="21E25450"/>
    <w:rsid w:val="21EB06F8"/>
    <w:rsid w:val="21FB0C54"/>
    <w:rsid w:val="22241FCD"/>
    <w:rsid w:val="22343942"/>
    <w:rsid w:val="223C1E72"/>
    <w:rsid w:val="224409DF"/>
    <w:rsid w:val="22696D78"/>
    <w:rsid w:val="22785ADF"/>
    <w:rsid w:val="229D6875"/>
    <w:rsid w:val="22D66243"/>
    <w:rsid w:val="22E41CFA"/>
    <w:rsid w:val="22E74C76"/>
    <w:rsid w:val="22EE5862"/>
    <w:rsid w:val="22EE62C3"/>
    <w:rsid w:val="22F307A1"/>
    <w:rsid w:val="232F735E"/>
    <w:rsid w:val="23454166"/>
    <w:rsid w:val="23470DD3"/>
    <w:rsid w:val="235C0446"/>
    <w:rsid w:val="2363739D"/>
    <w:rsid w:val="238F3ACB"/>
    <w:rsid w:val="23AB2753"/>
    <w:rsid w:val="23BC3936"/>
    <w:rsid w:val="23EF32E5"/>
    <w:rsid w:val="240F010D"/>
    <w:rsid w:val="24247062"/>
    <w:rsid w:val="243E45C7"/>
    <w:rsid w:val="24424650"/>
    <w:rsid w:val="24BE1D3F"/>
    <w:rsid w:val="24FD52C4"/>
    <w:rsid w:val="2524556B"/>
    <w:rsid w:val="25273FA6"/>
    <w:rsid w:val="252E2A3C"/>
    <w:rsid w:val="25396F57"/>
    <w:rsid w:val="254D2B5D"/>
    <w:rsid w:val="25755DC7"/>
    <w:rsid w:val="259C57FC"/>
    <w:rsid w:val="25B4016D"/>
    <w:rsid w:val="25E56D1A"/>
    <w:rsid w:val="25EC5DF0"/>
    <w:rsid w:val="25F87673"/>
    <w:rsid w:val="26052978"/>
    <w:rsid w:val="261B11B8"/>
    <w:rsid w:val="263C68E5"/>
    <w:rsid w:val="265D1A6F"/>
    <w:rsid w:val="268362C1"/>
    <w:rsid w:val="269303EE"/>
    <w:rsid w:val="26B35926"/>
    <w:rsid w:val="26F83306"/>
    <w:rsid w:val="2703259D"/>
    <w:rsid w:val="27046C82"/>
    <w:rsid w:val="27437A95"/>
    <w:rsid w:val="27497A41"/>
    <w:rsid w:val="27814C6F"/>
    <w:rsid w:val="278E3942"/>
    <w:rsid w:val="279F6240"/>
    <w:rsid w:val="27DC1CF7"/>
    <w:rsid w:val="27F8429D"/>
    <w:rsid w:val="28032C4F"/>
    <w:rsid w:val="28157E32"/>
    <w:rsid w:val="282A114A"/>
    <w:rsid w:val="283474EF"/>
    <w:rsid w:val="284952E9"/>
    <w:rsid w:val="284A15F7"/>
    <w:rsid w:val="287B329F"/>
    <w:rsid w:val="28903053"/>
    <w:rsid w:val="28C01A4F"/>
    <w:rsid w:val="28DD687E"/>
    <w:rsid w:val="28EC0579"/>
    <w:rsid w:val="29142381"/>
    <w:rsid w:val="294B6F92"/>
    <w:rsid w:val="29506A40"/>
    <w:rsid w:val="295D49CD"/>
    <w:rsid w:val="296358B0"/>
    <w:rsid w:val="296A3B2A"/>
    <w:rsid w:val="29A04A56"/>
    <w:rsid w:val="29A60064"/>
    <w:rsid w:val="29A97401"/>
    <w:rsid w:val="29B96AF2"/>
    <w:rsid w:val="29CD6057"/>
    <w:rsid w:val="29DC556C"/>
    <w:rsid w:val="29ED220A"/>
    <w:rsid w:val="29FC4FE3"/>
    <w:rsid w:val="2A151389"/>
    <w:rsid w:val="2A353998"/>
    <w:rsid w:val="2A497822"/>
    <w:rsid w:val="2A643A13"/>
    <w:rsid w:val="2A9A62D0"/>
    <w:rsid w:val="2AAC67B1"/>
    <w:rsid w:val="2AF307E0"/>
    <w:rsid w:val="2B1D277D"/>
    <w:rsid w:val="2B1E0AB3"/>
    <w:rsid w:val="2B34402E"/>
    <w:rsid w:val="2B453124"/>
    <w:rsid w:val="2B72753D"/>
    <w:rsid w:val="2B793EEE"/>
    <w:rsid w:val="2B9417B8"/>
    <w:rsid w:val="2BB1567F"/>
    <w:rsid w:val="2BC80AD2"/>
    <w:rsid w:val="2BEC283D"/>
    <w:rsid w:val="2BFA6826"/>
    <w:rsid w:val="2C02021B"/>
    <w:rsid w:val="2C0B4B81"/>
    <w:rsid w:val="2C1D0F66"/>
    <w:rsid w:val="2C1F1B03"/>
    <w:rsid w:val="2C406162"/>
    <w:rsid w:val="2C5607DD"/>
    <w:rsid w:val="2C630EA2"/>
    <w:rsid w:val="2C7B4409"/>
    <w:rsid w:val="2CAC4444"/>
    <w:rsid w:val="2CB26E8F"/>
    <w:rsid w:val="2CFB619E"/>
    <w:rsid w:val="2D0E3A61"/>
    <w:rsid w:val="2D111CB6"/>
    <w:rsid w:val="2D11433C"/>
    <w:rsid w:val="2D862863"/>
    <w:rsid w:val="2D8F7C42"/>
    <w:rsid w:val="2D934D7B"/>
    <w:rsid w:val="2DBB186D"/>
    <w:rsid w:val="2DD73563"/>
    <w:rsid w:val="2DEF51A3"/>
    <w:rsid w:val="2DF4595A"/>
    <w:rsid w:val="2E206AEC"/>
    <w:rsid w:val="2E8D6E41"/>
    <w:rsid w:val="2E94175C"/>
    <w:rsid w:val="2F1C4E94"/>
    <w:rsid w:val="2F2A4A31"/>
    <w:rsid w:val="2F363314"/>
    <w:rsid w:val="2F5C1CF0"/>
    <w:rsid w:val="2F5F664A"/>
    <w:rsid w:val="2FB2218E"/>
    <w:rsid w:val="2FBB67FD"/>
    <w:rsid w:val="2FC279D2"/>
    <w:rsid w:val="2FDD4C94"/>
    <w:rsid w:val="30263C7D"/>
    <w:rsid w:val="303304B4"/>
    <w:rsid w:val="306C53F9"/>
    <w:rsid w:val="306E7FE2"/>
    <w:rsid w:val="30833701"/>
    <w:rsid w:val="308C7C9A"/>
    <w:rsid w:val="309612E7"/>
    <w:rsid w:val="30B324B7"/>
    <w:rsid w:val="30B6196F"/>
    <w:rsid w:val="30EB1210"/>
    <w:rsid w:val="31003E73"/>
    <w:rsid w:val="31014C08"/>
    <w:rsid w:val="31083F93"/>
    <w:rsid w:val="31413001"/>
    <w:rsid w:val="315C53F9"/>
    <w:rsid w:val="3169176E"/>
    <w:rsid w:val="31806EC2"/>
    <w:rsid w:val="318D5982"/>
    <w:rsid w:val="31CE2772"/>
    <w:rsid w:val="31D125D7"/>
    <w:rsid w:val="31D312A0"/>
    <w:rsid w:val="31D70DB8"/>
    <w:rsid w:val="31E87920"/>
    <w:rsid w:val="31EA61B5"/>
    <w:rsid w:val="323A056C"/>
    <w:rsid w:val="32481681"/>
    <w:rsid w:val="325C104A"/>
    <w:rsid w:val="327029CA"/>
    <w:rsid w:val="32743529"/>
    <w:rsid w:val="328E0A0B"/>
    <w:rsid w:val="32AD3655"/>
    <w:rsid w:val="32B44306"/>
    <w:rsid w:val="32BE1797"/>
    <w:rsid w:val="32BE5342"/>
    <w:rsid w:val="32C2078F"/>
    <w:rsid w:val="32D85BE7"/>
    <w:rsid w:val="32DA21BA"/>
    <w:rsid w:val="32DB28F7"/>
    <w:rsid w:val="32DF2A9B"/>
    <w:rsid w:val="32FC29F3"/>
    <w:rsid w:val="3308075F"/>
    <w:rsid w:val="33170005"/>
    <w:rsid w:val="333A67F7"/>
    <w:rsid w:val="333B1446"/>
    <w:rsid w:val="335A2168"/>
    <w:rsid w:val="336761C3"/>
    <w:rsid w:val="33852BDF"/>
    <w:rsid w:val="33B9186A"/>
    <w:rsid w:val="33C85C5B"/>
    <w:rsid w:val="33E2056E"/>
    <w:rsid w:val="34151B5A"/>
    <w:rsid w:val="34385D18"/>
    <w:rsid w:val="344005B6"/>
    <w:rsid w:val="346960F9"/>
    <w:rsid w:val="34735842"/>
    <w:rsid w:val="348C2C0E"/>
    <w:rsid w:val="34B86931"/>
    <w:rsid w:val="34BC0833"/>
    <w:rsid w:val="34D50699"/>
    <w:rsid w:val="34E97F26"/>
    <w:rsid w:val="34F95AD3"/>
    <w:rsid w:val="355B79C0"/>
    <w:rsid w:val="35DD7439"/>
    <w:rsid w:val="35F93D1E"/>
    <w:rsid w:val="36056CF3"/>
    <w:rsid w:val="362B0A87"/>
    <w:rsid w:val="364C7FE8"/>
    <w:rsid w:val="366E2AEA"/>
    <w:rsid w:val="368D4E24"/>
    <w:rsid w:val="36BA6444"/>
    <w:rsid w:val="36E7595F"/>
    <w:rsid w:val="370F635B"/>
    <w:rsid w:val="372C52B2"/>
    <w:rsid w:val="37475806"/>
    <w:rsid w:val="3765016C"/>
    <w:rsid w:val="377D3CD2"/>
    <w:rsid w:val="37BA58BB"/>
    <w:rsid w:val="37DA41AF"/>
    <w:rsid w:val="37DF17C6"/>
    <w:rsid w:val="38571B5E"/>
    <w:rsid w:val="38A24CCD"/>
    <w:rsid w:val="38C421B1"/>
    <w:rsid w:val="38CD09F5"/>
    <w:rsid w:val="38E276A3"/>
    <w:rsid w:val="38EF7140"/>
    <w:rsid w:val="38F76D3C"/>
    <w:rsid w:val="38FB291B"/>
    <w:rsid w:val="390F2243"/>
    <w:rsid w:val="391425F7"/>
    <w:rsid w:val="392403D8"/>
    <w:rsid w:val="39241169"/>
    <w:rsid w:val="396D59CC"/>
    <w:rsid w:val="396F0148"/>
    <w:rsid w:val="39904FFA"/>
    <w:rsid w:val="3998511D"/>
    <w:rsid w:val="39A22DF4"/>
    <w:rsid w:val="39A80CF3"/>
    <w:rsid w:val="39B60E8F"/>
    <w:rsid w:val="39CC2A82"/>
    <w:rsid w:val="39CE5047"/>
    <w:rsid w:val="39E027C2"/>
    <w:rsid w:val="39E12455"/>
    <w:rsid w:val="39E278DC"/>
    <w:rsid w:val="39EA051A"/>
    <w:rsid w:val="39EB4452"/>
    <w:rsid w:val="39EC3969"/>
    <w:rsid w:val="39FA02BA"/>
    <w:rsid w:val="3A0929D5"/>
    <w:rsid w:val="3A1A0893"/>
    <w:rsid w:val="3A21780D"/>
    <w:rsid w:val="3A2622F6"/>
    <w:rsid w:val="3A3808CE"/>
    <w:rsid w:val="3A3F36E5"/>
    <w:rsid w:val="3A7570A0"/>
    <w:rsid w:val="3A806872"/>
    <w:rsid w:val="3ABD4DA4"/>
    <w:rsid w:val="3AD7545E"/>
    <w:rsid w:val="3AE32839"/>
    <w:rsid w:val="3B1219D2"/>
    <w:rsid w:val="3B367DE4"/>
    <w:rsid w:val="3B3717BF"/>
    <w:rsid w:val="3B45071A"/>
    <w:rsid w:val="3B4C2CCE"/>
    <w:rsid w:val="3B6B5F60"/>
    <w:rsid w:val="3B7300EC"/>
    <w:rsid w:val="3B8A393B"/>
    <w:rsid w:val="3BAD413C"/>
    <w:rsid w:val="3BB558CE"/>
    <w:rsid w:val="3BC2056E"/>
    <w:rsid w:val="3BC46B96"/>
    <w:rsid w:val="3BCE69DE"/>
    <w:rsid w:val="3BD34118"/>
    <w:rsid w:val="3BEC1BDD"/>
    <w:rsid w:val="3BFE7EBF"/>
    <w:rsid w:val="3C0A14BE"/>
    <w:rsid w:val="3C2B3DE6"/>
    <w:rsid w:val="3C495460"/>
    <w:rsid w:val="3C5938F5"/>
    <w:rsid w:val="3CA44C61"/>
    <w:rsid w:val="3CCD7E3F"/>
    <w:rsid w:val="3CCF578C"/>
    <w:rsid w:val="3CD15B81"/>
    <w:rsid w:val="3CFC5837"/>
    <w:rsid w:val="3D5A13B1"/>
    <w:rsid w:val="3DF43324"/>
    <w:rsid w:val="3DFC4628"/>
    <w:rsid w:val="3E1C26FC"/>
    <w:rsid w:val="3E5144CF"/>
    <w:rsid w:val="3E944577"/>
    <w:rsid w:val="3ED100BA"/>
    <w:rsid w:val="3EF92944"/>
    <w:rsid w:val="3F131518"/>
    <w:rsid w:val="3F16680E"/>
    <w:rsid w:val="3F6D4F39"/>
    <w:rsid w:val="3F716CF5"/>
    <w:rsid w:val="3F917571"/>
    <w:rsid w:val="3F9F4E81"/>
    <w:rsid w:val="3FB558D6"/>
    <w:rsid w:val="3FE148A8"/>
    <w:rsid w:val="3FEF334E"/>
    <w:rsid w:val="403365DF"/>
    <w:rsid w:val="40714F85"/>
    <w:rsid w:val="40776135"/>
    <w:rsid w:val="409C284C"/>
    <w:rsid w:val="40BA0E60"/>
    <w:rsid w:val="40C81E0C"/>
    <w:rsid w:val="41083B3B"/>
    <w:rsid w:val="411B2BE7"/>
    <w:rsid w:val="415B243E"/>
    <w:rsid w:val="417B0EAE"/>
    <w:rsid w:val="41826724"/>
    <w:rsid w:val="418B5A00"/>
    <w:rsid w:val="41A73354"/>
    <w:rsid w:val="41B24056"/>
    <w:rsid w:val="41CC4B69"/>
    <w:rsid w:val="41CE1354"/>
    <w:rsid w:val="41DD054B"/>
    <w:rsid w:val="41FB36A0"/>
    <w:rsid w:val="4253528A"/>
    <w:rsid w:val="42754EE0"/>
    <w:rsid w:val="428A7C17"/>
    <w:rsid w:val="42A718AA"/>
    <w:rsid w:val="42AE426E"/>
    <w:rsid w:val="42AF57EB"/>
    <w:rsid w:val="42D73D62"/>
    <w:rsid w:val="42E14644"/>
    <w:rsid w:val="42F04FAB"/>
    <w:rsid w:val="43654AFE"/>
    <w:rsid w:val="43A159A3"/>
    <w:rsid w:val="43F751F0"/>
    <w:rsid w:val="442A25B9"/>
    <w:rsid w:val="44357057"/>
    <w:rsid w:val="44566A49"/>
    <w:rsid w:val="44843B41"/>
    <w:rsid w:val="44931401"/>
    <w:rsid w:val="44B15F50"/>
    <w:rsid w:val="44CA30FE"/>
    <w:rsid w:val="44E01144"/>
    <w:rsid w:val="44F529B8"/>
    <w:rsid w:val="450A3CA6"/>
    <w:rsid w:val="4527534D"/>
    <w:rsid w:val="453C62A9"/>
    <w:rsid w:val="456D2FD6"/>
    <w:rsid w:val="45CF69D6"/>
    <w:rsid w:val="45D90CED"/>
    <w:rsid w:val="45EF2DFE"/>
    <w:rsid w:val="463475C6"/>
    <w:rsid w:val="464F52D1"/>
    <w:rsid w:val="465A3F27"/>
    <w:rsid w:val="46946B53"/>
    <w:rsid w:val="46B24D85"/>
    <w:rsid w:val="471160F4"/>
    <w:rsid w:val="472D6C38"/>
    <w:rsid w:val="474156B1"/>
    <w:rsid w:val="475B17A5"/>
    <w:rsid w:val="476D1D47"/>
    <w:rsid w:val="47D520C8"/>
    <w:rsid w:val="47DA5262"/>
    <w:rsid w:val="483C7C60"/>
    <w:rsid w:val="484A6E97"/>
    <w:rsid w:val="484D685D"/>
    <w:rsid w:val="48577D69"/>
    <w:rsid w:val="487B36AC"/>
    <w:rsid w:val="48952816"/>
    <w:rsid w:val="48E5660A"/>
    <w:rsid w:val="49013421"/>
    <w:rsid w:val="490C7880"/>
    <w:rsid w:val="49225B3C"/>
    <w:rsid w:val="49425710"/>
    <w:rsid w:val="495E334C"/>
    <w:rsid w:val="496569C4"/>
    <w:rsid w:val="49786554"/>
    <w:rsid w:val="49825945"/>
    <w:rsid w:val="49836455"/>
    <w:rsid w:val="49B25AB0"/>
    <w:rsid w:val="49C96EA1"/>
    <w:rsid w:val="49DD04D1"/>
    <w:rsid w:val="49EA3A51"/>
    <w:rsid w:val="4A152A6B"/>
    <w:rsid w:val="4A203629"/>
    <w:rsid w:val="4A301A24"/>
    <w:rsid w:val="4A3D58AA"/>
    <w:rsid w:val="4A5E2A1E"/>
    <w:rsid w:val="4A5F404B"/>
    <w:rsid w:val="4A704B41"/>
    <w:rsid w:val="4A8D3285"/>
    <w:rsid w:val="4A98226A"/>
    <w:rsid w:val="4AA3222B"/>
    <w:rsid w:val="4AAD1DBA"/>
    <w:rsid w:val="4AC70825"/>
    <w:rsid w:val="4ACD12F9"/>
    <w:rsid w:val="4AF1232C"/>
    <w:rsid w:val="4AF84E98"/>
    <w:rsid w:val="4B1165B3"/>
    <w:rsid w:val="4B2B05F3"/>
    <w:rsid w:val="4B425E9C"/>
    <w:rsid w:val="4B635E4C"/>
    <w:rsid w:val="4B68071D"/>
    <w:rsid w:val="4B7A7752"/>
    <w:rsid w:val="4B875F83"/>
    <w:rsid w:val="4BBC17AA"/>
    <w:rsid w:val="4BC30D8B"/>
    <w:rsid w:val="4BC36FDC"/>
    <w:rsid w:val="4BF453E8"/>
    <w:rsid w:val="4BFB7AB5"/>
    <w:rsid w:val="4C1E4027"/>
    <w:rsid w:val="4C1E5473"/>
    <w:rsid w:val="4C392114"/>
    <w:rsid w:val="4C6F0F12"/>
    <w:rsid w:val="4C884C4C"/>
    <w:rsid w:val="4CD20516"/>
    <w:rsid w:val="4CE948F5"/>
    <w:rsid w:val="4D1578B9"/>
    <w:rsid w:val="4D7F6F33"/>
    <w:rsid w:val="4D9D7640"/>
    <w:rsid w:val="4DB0247E"/>
    <w:rsid w:val="4DB43C8A"/>
    <w:rsid w:val="4DCC28BC"/>
    <w:rsid w:val="4DCD5D1D"/>
    <w:rsid w:val="4E8F764A"/>
    <w:rsid w:val="4ECA47EA"/>
    <w:rsid w:val="4ECE1E61"/>
    <w:rsid w:val="4ED24783"/>
    <w:rsid w:val="4F192763"/>
    <w:rsid w:val="4F2204BE"/>
    <w:rsid w:val="4F22226C"/>
    <w:rsid w:val="4F3501F1"/>
    <w:rsid w:val="4F45397B"/>
    <w:rsid w:val="4F495A4B"/>
    <w:rsid w:val="4F673C73"/>
    <w:rsid w:val="4F7978D6"/>
    <w:rsid w:val="4F954F27"/>
    <w:rsid w:val="4F95526F"/>
    <w:rsid w:val="4F9E7830"/>
    <w:rsid w:val="4FA62E9D"/>
    <w:rsid w:val="4FC132FA"/>
    <w:rsid w:val="502D711A"/>
    <w:rsid w:val="50836D3A"/>
    <w:rsid w:val="5084795E"/>
    <w:rsid w:val="508F3510"/>
    <w:rsid w:val="509A4660"/>
    <w:rsid w:val="50F70D9C"/>
    <w:rsid w:val="51013454"/>
    <w:rsid w:val="511D36DC"/>
    <w:rsid w:val="515A51D2"/>
    <w:rsid w:val="518B336F"/>
    <w:rsid w:val="519478E5"/>
    <w:rsid w:val="519531C9"/>
    <w:rsid w:val="51A15CEE"/>
    <w:rsid w:val="51B86C95"/>
    <w:rsid w:val="5288688A"/>
    <w:rsid w:val="52C118CB"/>
    <w:rsid w:val="52FD67AC"/>
    <w:rsid w:val="53031B15"/>
    <w:rsid w:val="53692AC9"/>
    <w:rsid w:val="536C2E61"/>
    <w:rsid w:val="53910E0F"/>
    <w:rsid w:val="53A45945"/>
    <w:rsid w:val="53B01114"/>
    <w:rsid w:val="53B637C9"/>
    <w:rsid w:val="53BB2B25"/>
    <w:rsid w:val="53EB1F23"/>
    <w:rsid w:val="540B1521"/>
    <w:rsid w:val="54187E9C"/>
    <w:rsid w:val="542B072D"/>
    <w:rsid w:val="54380EC8"/>
    <w:rsid w:val="54620295"/>
    <w:rsid w:val="54D34840"/>
    <w:rsid w:val="54E01871"/>
    <w:rsid w:val="54F254FC"/>
    <w:rsid w:val="550A78EC"/>
    <w:rsid w:val="552B3D5F"/>
    <w:rsid w:val="559C7C25"/>
    <w:rsid w:val="55B07746"/>
    <w:rsid w:val="55BB0D24"/>
    <w:rsid w:val="55DE2A3D"/>
    <w:rsid w:val="562B4E3E"/>
    <w:rsid w:val="562C2483"/>
    <w:rsid w:val="564451BE"/>
    <w:rsid w:val="56A24778"/>
    <w:rsid w:val="56BE394E"/>
    <w:rsid w:val="56CB1426"/>
    <w:rsid w:val="56F6271C"/>
    <w:rsid w:val="574A68C4"/>
    <w:rsid w:val="57617E6C"/>
    <w:rsid w:val="57692C03"/>
    <w:rsid w:val="576B7E0E"/>
    <w:rsid w:val="57983795"/>
    <w:rsid w:val="579F188E"/>
    <w:rsid w:val="579F4A9D"/>
    <w:rsid w:val="57A15795"/>
    <w:rsid w:val="57A6123A"/>
    <w:rsid w:val="57D8796C"/>
    <w:rsid w:val="57F3496D"/>
    <w:rsid w:val="58424BDE"/>
    <w:rsid w:val="58555918"/>
    <w:rsid w:val="586D5395"/>
    <w:rsid w:val="58821851"/>
    <w:rsid w:val="58902D21"/>
    <w:rsid w:val="58C9133D"/>
    <w:rsid w:val="58F10AFE"/>
    <w:rsid w:val="59004C67"/>
    <w:rsid w:val="590D6500"/>
    <w:rsid w:val="591946E0"/>
    <w:rsid w:val="593A321B"/>
    <w:rsid w:val="5941761E"/>
    <w:rsid w:val="595D6CCC"/>
    <w:rsid w:val="59613991"/>
    <w:rsid w:val="59AB510D"/>
    <w:rsid w:val="59B95C66"/>
    <w:rsid w:val="59C809FE"/>
    <w:rsid w:val="59DA2931"/>
    <w:rsid w:val="5A1D36D7"/>
    <w:rsid w:val="5A4A2677"/>
    <w:rsid w:val="5A852801"/>
    <w:rsid w:val="5AA24261"/>
    <w:rsid w:val="5AD52888"/>
    <w:rsid w:val="5B232A2C"/>
    <w:rsid w:val="5B293D83"/>
    <w:rsid w:val="5B352F53"/>
    <w:rsid w:val="5B7163FA"/>
    <w:rsid w:val="5B9662C9"/>
    <w:rsid w:val="5BA84BC0"/>
    <w:rsid w:val="5BAB3C8A"/>
    <w:rsid w:val="5BAC0560"/>
    <w:rsid w:val="5BD141DA"/>
    <w:rsid w:val="5C141FB7"/>
    <w:rsid w:val="5C301A80"/>
    <w:rsid w:val="5C337842"/>
    <w:rsid w:val="5C4001D5"/>
    <w:rsid w:val="5C4B45AD"/>
    <w:rsid w:val="5C5808D6"/>
    <w:rsid w:val="5C732359"/>
    <w:rsid w:val="5C816850"/>
    <w:rsid w:val="5C826B51"/>
    <w:rsid w:val="5C9E2577"/>
    <w:rsid w:val="5CA0213A"/>
    <w:rsid w:val="5CA44524"/>
    <w:rsid w:val="5CB82977"/>
    <w:rsid w:val="5CBC3B42"/>
    <w:rsid w:val="5CE768A3"/>
    <w:rsid w:val="5CEA08DF"/>
    <w:rsid w:val="5CFA24EF"/>
    <w:rsid w:val="5D107877"/>
    <w:rsid w:val="5D320D12"/>
    <w:rsid w:val="5DBD2974"/>
    <w:rsid w:val="5DBD47E8"/>
    <w:rsid w:val="5DDA759F"/>
    <w:rsid w:val="5E3239CA"/>
    <w:rsid w:val="5E61304E"/>
    <w:rsid w:val="5E6A153A"/>
    <w:rsid w:val="5E923C49"/>
    <w:rsid w:val="5E987E55"/>
    <w:rsid w:val="5EDD7F5D"/>
    <w:rsid w:val="5F011BCF"/>
    <w:rsid w:val="5F190554"/>
    <w:rsid w:val="5F3625DE"/>
    <w:rsid w:val="5F626B29"/>
    <w:rsid w:val="5F70219F"/>
    <w:rsid w:val="5F796A1B"/>
    <w:rsid w:val="5FA547D0"/>
    <w:rsid w:val="5FA97E40"/>
    <w:rsid w:val="5FE315A4"/>
    <w:rsid w:val="5FE403A9"/>
    <w:rsid w:val="601817FE"/>
    <w:rsid w:val="602A6D31"/>
    <w:rsid w:val="608C5797"/>
    <w:rsid w:val="609410A1"/>
    <w:rsid w:val="609C5D62"/>
    <w:rsid w:val="60AC2E28"/>
    <w:rsid w:val="60D84662"/>
    <w:rsid w:val="60FA1991"/>
    <w:rsid w:val="610B41C1"/>
    <w:rsid w:val="610D0FF3"/>
    <w:rsid w:val="61182871"/>
    <w:rsid w:val="61572D1F"/>
    <w:rsid w:val="61977EB6"/>
    <w:rsid w:val="619830D1"/>
    <w:rsid w:val="619C1438"/>
    <w:rsid w:val="61A134C4"/>
    <w:rsid w:val="61E76376"/>
    <w:rsid w:val="624350F9"/>
    <w:rsid w:val="624A4268"/>
    <w:rsid w:val="62632EA9"/>
    <w:rsid w:val="62685921"/>
    <w:rsid w:val="62A75C58"/>
    <w:rsid w:val="62C92502"/>
    <w:rsid w:val="62CB4CB6"/>
    <w:rsid w:val="62EA4AD8"/>
    <w:rsid w:val="63020EC6"/>
    <w:rsid w:val="63051831"/>
    <w:rsid w:val="6347263D"/>
    <w:rsid w:val="634A6C06"/>
    <w:rsid w:val="63571EDC"/>
    <w:rsid w:val="63894210"/>
    <w:rsid w:val="63C27722"/>
    <w:rsid w:val="63CB2A7A"/>
    <w:rsid w:val="63DE0D1B"/>
    <w:rsid w:val="640970FF"/>
    <w:rsid w:val="64153CF6"/>
    <w:rsid w:val="64250520"/>
    <w:rsid w:val="643028DD"/>
    <w:rsid w:val="646E74D1"/>
    <w:rsid w:val="64754794"/>
    <w:rsid w:val="64956148"/>
    <w:rsid w:val="64A03E97"/>
    <w:rsid w:val="64F56A29"/>
    <w:rsid w:val="654C1BB4"/>
    <w:rsid w:val="65587861"/>
    <w:rsid w:val="65743D6A"/>
    <w:rsid w:val="65777A33"/>
    <w:rsid w:val="658D431E"/>
    <w:rsid w:val="660F562D"/>
    <w:rsid w:val="661C1D55"/>
    <w:rsid w:val="662D5327"/>
    <w:rsid w:val="663D02AB"/>
    <w:rsid w:val="6688240A"/>
    <w:rsid w:val="66A522A2"/>
    <w:rsid w:val="66D57914"/>
    <w:rsid w:val="67254BBD"/>
    <w:rsid w:val="67284F41"/>
    <w:rsid w:val="672B4598"/>
    <w:rsid w:val="673B36F4"/>
    <w:rsid w:val="67476203"/>
    <w:rsid w:val="675279B7"/>
    <w:rsid w:val="67674777"/>
    <w:rsid w:val="678304AF"/>
    <w:rsid w:val="678D5B25"/>
    <w:rsid w:val="679470E0"/>
    <w:rsid w:val="679C2069"/>
    <w:rsid w:val="67A30475"/>
    <w:rsid w:val="67B709D6"/>
    <w:rsid w:val="67C6330A"/>
    <w:rsid w:val="67DC5D00"/>
    <w:rsid w:val="67FC2E32"/>
    <w:rsid w:val="67FC3439"/>
    <w:rsid w:val="68201A4B"/>
    <w:rsid w:val="68680898"/>
    <w:rsid w:val="68724A84"/>
    <w:rsid w:val="68B00B32"/>
    <w:rsid w:val="68B95650"/>
    <w:rsid w:val="68C63B5A"/>
    <w:rsid w:val="68D90C8B"/>
    <w:rsid w:val="68DB2B28"/>
    <w:rsid w:val="68E025D1"/>
    <w:rsid w:val="68F55EAE"/>
    <w:rsid w:val="68F760C0"/>
    <w:rsid w:val="68F85BA3"/>
    <w:rsid w:val="690A5DF3"/>
    <w:rsid w:val="69674FF3"/>
    <w:rsid w:val="696911AE"/>
    <w:rsid w:val="6978587C"/>
    <w:rsid w:val="6988086B"/>
    <w:rsid w:val="69BF6BDD"/>
    <w:rsid w:val="69D33BE7"/>
    <w:rsid w:val="69F33A7A"/>
    <w:rsid w:val="69F47A43"/>
    <w:rsid w:val="6A0E4A1D"/>
    <w:rsid w:val="6A175DE8"/>
    <w:rsid w:val="6A1E7473"/>
    <w:rsid w:val="6A435388"/>
    <w:rsid w:val="6A5665CF"/>
    <w:rsid w:val="6A5E6BE6"/>
    <w:rsid w:val="6A7A2B04"/>
    <w:rsid w:val="6A7B56C3"/>
    <w:rsid w:val="6A9242F2"/>
    <w:rsid w:val="6AC66597"/>
    <w:rsid w:val="6B080452"/>
    <w:rsid w:val="6B0E3F4A"/>
    <w:rsid w:val="6B3D5CD6"/>
    <w:rsid w:val="6B8A0A6F"/>
    <w:rsid w:val="6B8C29D5"/>
    <w:rsid w:val="6B9D2AA6"/>
    <w:rsid w:val="6BB17750"/>
    <w:rsid w:val="6BC33839"/>
    <w:rsid w:val="6BDB3034"/>
    <w:rsid w:val="6C2F6C22"/>
    <w:rsid w:val="6C5775A1"/>
    <w:rsid w:val="6C6B6010"/>
    <w:rsid w:val="6C7A7724"/>
    <w:rsid w:val="6C966A4D"/>
    <w:rsid w:val="6CCF7844"/>
    <w:rsid w:val="6CD72490"/>
    <w:rsid w:val="6CFE1F35"/>
    <w:rsid w:val="6D0D4104"/>
    <w:rsid w:val="6D7952F5"/>
    <w:rsid w:val="6D884C76"/>
    <w:rsid w:val="6D994926"/>
    <w:rsid w:val="6DAF5E16"/>
    <w:rsid w:val="6DED193F"/>
    <w:rsid w:val="6DF252AD"/>
    <w:rsid w:val="6DF44E5D"/>
    <w:rsid w:val="6E1D7FF6"/>
    <w:rsid w:val="6E9F4187"/>
    <w:rsid w:val="6EB01B45"/>
    <w:rsid w:val="6EBA5DD4"/>
    <w:rsid w:val="6EBD7464"/>
    <w:rsid w:val="6EE15B07"/>
    <w:rsid w:val="6EE730B6"/>
    <w:rsid w:val="6EE8172E"/>
    <w:rsid w:val="6F257866"/>
    <w:rsid w:val="6F406567"/>
    <w:rsid w:val="6F4B0F13"/>
    <w:rsid w:val="6F4B5E42"/>
    <w:rsid w:val="6F5222A2"/>
    <w:rsid w:val="6FA06022"/>
    <w:rsid w:val="6FAA5B2A"/>
    <w:rsid w:val="6FC822D0"/>
    <w:rsid w:val="6FCF5B9E"/>
    <w:rsid w:val="7007308C"/>
    <w:rsid w:val="701B6B38"/>
    <w:rsid w:val="701E2184"/>
    <w:rsid w:val="702F613F"/>
    <w:rsid w:val="70351623"/>
    <w:rsid w:val="703B2711"/>
    <w:rsid w:val="707F3A1C"/>
    <w:rsid w:val="708B5A6B"/>
    <w:rsid w:val="70961244"/>
    <w:rsid w:val="709A77FF"/>
    <w:rsid w:val="70B2124A"/>
    <w:rsid w:val="712B25C9"/>
    <w:rsid w:val="714123CE"/>
    <w:rsid w:val="714421E1"/>
    <w:rsid w:val="714B51FB"/>
    <w:rsid w:val="715045BF"/>
    <w:rsid w:val="71583F14"/>
    <w:rsid w:val="715F32C2"/>
    <w:rsid w:val="71A4709A"/>
    <w:rsid w:val="72220DA8"/>
    <w:rsid w:val="72606204"/>
    <w:rsid w:val="7285321E"/>
    <w:rsid w:val="72954BE7"/>
    <w:rsid w:val="72AB7BB5"/>
    <w:rsid w:val="72B979C5"/>
    <w:rsid w:val="73080361"/>
    <w:rsid w:val="731004AA"/>
    <w:rsid w:val="73127121"/>
    <w:rsid w:val="731752D7"/>
    <w:rsid w:val="73A6516D"/>
    <w:rsid w:val="73B36483"/>
    <w:rsid w:val="73BE16E0"/>
    <w:rsid w:val="73DA22D0"/>
    <w:rsid w:val="73F27BAF"/>
    <w:rsid w:val="7438384B"/>
    <w:rsid w:val="743970F8"/>
    <w:rsid w:val="744A59BE"/>
    <w:rsid w:val="74687ACD"/>
    <w:rsid w:val="747A5831"/>
    <w:rsid w:val="74A651E2"/>
    <w:rsid w:val="74BF60D1"/>
    <w:rsid w:val="74F07B2E"/>
    <w:rsid w:val="74F636CF"/>
    <w:rsid w:val="74FA4462"/>
    <w:rsid w:val="753D12FE"/>
    <w:rsid w:val="75895CEC"/>
    <w:rsid w:val="75A86778"/>
    <w:rsid w:val="75B07D22"/>
    <w:rsid w:val="7609536D"/>
    <w:rsid w:val="760C4AC0"/>
    <w:rsid w:val="761738FD"/>
    <w:rsid w:val="761E4C8C"/>
    <w:rsid w:val="76A440CA"/>
    <w:rsid w:val="76BD6060"/>
    <w:rsid w:val="76E91BE4"/>
    <w:rsid w:val="76F4501A"/>
    <w:rsid w:val="77122396"/>
    <w:rsid w:val="771B4AB6"/>
    <w:rsid w:val="77390453"/>
    <w:rsid w:val="77433A7A"/>
    <w:rsid w:val="775A7F45"/>
    <w:rsid w:val="779B1C7C"/>
    <w:rsid w:val="77A41F1A"/>
    <w:rsid w:val="77F13EF0"/>
    <w:rsid w:val="7808361A"/>
    <w:rsid w:val="780C63D5"/>
    <w:rsid w:val="785B25DD"/>
    <w:rsid w:val="78636067"/>
    <w:rsid w:val="7866354D"/>
    <w:rsid w:val="786848E4"/>
    <w:rsid w:val="789613EB"/>
    <w:rsid w:val="78FE72BB"/>
    <w:rsid w:val="792C4A7D"/>
    <w:rsid w:val="793B2EE4"/>
    <w:rsid w:val="795450A1"/>
    <w:rsid w:val="79EB2AFD"/>
    <w:rsid w:val="79EC5D79"/>
    <w:rsid w:val="79F3055C"/>
    <w:rsid w:val="7A1F78D9"/>
    <w:rsid w:val="7A39444D"/>
    <w:rsid w:val="7A657EF8"/>
    <w:rsid w:val="7A757A75"/>
    <w:rsid w:val="7A9A1E68"/>
    <w:rsid w:val="7AE62C3C"/>
    <w:rsid w:val="7B0A7C76"/>
    <w:rsid w:val="7B174A5B"/>
    <w:rsid w:val="7B3A1278"/>
    <w:rsid w:val="7B5452A8"/>
    <w:rsid w:val="7B641083"/>
    <w:rsid w:val="7B701D01"/>
    <w:rsid w:val="7B78320B"/>
    <w:rsid w:val="7B7F5B85"/>
    <w:rsid w:val="7B7F680B"/>
    <w:rsid w:val="7BD23821"/>
    <w:rsid w:val="7BED31A1"/>
    <w:rsid w:val="7C0419CE"/>
    <w:rsid w:val="7C0F4623"/>
    <w:rsid w:val="7C1C69FB"/>
    <w:rsid w:val="7C25465B"/>
    <w:rsid w:val="7C35223C"/>
    <w:rsid w:val="7C4116D4"/>
    <w:rsid w:val="7C482C12"/>
    <w:rsid w:val="7C506621"/>
    <w:rsid w:val="7C5A0F19"/>
    <w:rsid w:val="7C71553E"/>
    <w:rsid w:val="7C784990"/>
    <w:rsid w:val="7C7C44BA"/>
    <w:rsid w:val="7CCD1DCF"/>
    <w:rsid w:val="7CDE1FBF"/>
    <w:rsid w:val="7D272678"/>
    <w:rsid w:val="7D70369C"/>
    <w:rsid w:val="7D72026B"/>
    <w:rsid w:val="7D792545"/>
    <w:rsid w:val="7D8710BA"/>
    <w:rsid w:val="7D9119B2"/>
    <w:rsid w:val="7DA97B2B"/>
    <w:rsid w:val="7DEC38C1"/>
    <w:rsid w:val="7DF23542"/>
    <w:rsid w:val="7E05308E"/>
    <w:rsid w:val="7E0653D2"/>
    <w:rsid w:val="7E0B3D48"/>
    <w:rsid w:val="7E2A0282"/>
    <w:rsid w:val="7E4C41F6"/>
    <w:rsid w:val="7E520C26"/>
    <w:rsid w:val="7E65312E"/>
    <w:rsid w:val="7E6F4D21"/>
    <w:rsid w:val="7EB47CAC"/>
    <w:rsid w:val="7EC9095B"/>
    <w:rsid w:val="7F0029F4"/>
    <w:rsid w:val="7F08264C"/>
    <w:rsid w:val="7F226ED5"/>
    <w:rsid w:val="7F46776E"/>
    <w:rsid w:val="7F5F014E"/>
    <w:rsid w:val="7F8D1BE5"/>
    <w:rsid w:val="7FC4399B"/>
    <w:rsid w:val="7FD30D65"/>
    <w:rsid w:val="7FDE6F60"/>
    <w:rsid w:val="7FE94C3B"/>
    <w:rsid w:val="7FEB0E98"/>
    <w:rsid w:val="7FF654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9" w:semiHidden="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420" w:firstLineChars="200"/>
    </w:pPr>
    <w:rPr>
      <w:rFonts w:ascii="Times New Roman" w:hAnsi="Times New Roman" w:eastAsia="宋体" w:cs="Times New Roman"/>
      <w:kern w:val="2"/>
      <w:sz w:val="21"/>
      <w:szCs w:val="24"/>
      <w:lang w:val="en-US" w:eastAsia="zh-CN" w:bidi="ar-SA"/>
      <w14:ligatures w14:val="standardContextual"/>
    </w:rPr>
  </w:style>
  <w:style w:type="paragraph" w:styleId="2">
    <w:name w:val="heading 1"/>
    <w:basedOn w:val="1"/>
    <w:next w:val="1"/>
    <w:link w:val="19"/>
    <w:autoRedefine/>
    <w:qFormat/>
    <w:uiPriority w:val="0"/>
    <w:pPr>
      <w:keepNext/>
      <w:keepLines/>
      <w:numPr>
        <w:ilvl w:val="0"/>
        <w:numId w:val="1"/>
      </w:numPr>
      <w:spacing w:before="120" w:after="120"/>
      <w:ind w:firstLineChars="0"/>
      <w:jc w:val="left"/>
      <w:outlineLvl w:val="0"/>
    </w:pPr>
    <w:rPr>
      <w:rFonts w:eastAsia="思源宋体 CN Light"/>
      <w:b/>
      <w:bCs/>
      <w:kern w:val="44"/>
      <w:sz w:val="32"/>
      <w:szCs w:val="44"/>
    </w:rPr>
  </w:style>
  <w:style w:type="paragraph" w:styleId="3">
    <w:name w:val="heading 2"/>
    <w:basedOn w:val="1"/>
    <w:next w:val="1"/>
    <w:autoRedefine/>
    <w:qFormat/>
    <w:uiPriority w:val="0"/>
    <w:pPr>
      <w:keepNext/>
      <w:keepLines/>
      <w:widowControl/>
      <w:numPr>
        <w:ilvl w:val="1"/>
        <w:numId w:val="1"/>
      </w:numPr>
      <w:spacing w:before="120" w:after="120" w:line="360" w:lineRule="auto"/>
      <w:ind w:left="435" w:hanging="576" w:firstLineChars="0"/>
      <w:jc w:val="left"/>
      <w:outlineLvl w:val="1"/>
    </w:pPr>
    <w:rPr>
      <w:rFonts w:ascii="Times New Roman" w:hAnsi="Times New Roman" w:eastAsia="思源宋体 CN Light" w:cs="Times New Roman"/>
      <w:b/>
      <w:bCs/>
      <w:sz w:val="30"/>
      <w:szCs w:val="32"/>
    </w:rPr>
  </w:style>
  <w:style w:type="paragraph" w:styleId="4">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6">
    <w:name w:val="heading 7"/>
    <w:basedOn w:val="1"/>
    <w:next w:val="1"/>
    <w:autoRedefine/>
    <w:unhideWhenUsed/>
    <w:qFormat/>
    <w:uiPriority w:val="9"/>
    <w:pPr>
      <w:keepNext/>
      <w:keepLines/>
      <w:spacing w:before="240" w:after="64" w:line="320" w:lineRule="auto"/>
      <w:outlineLvl w:val="6"/>
    </w:pPr>
    <w:rPr>
      <w:bCs/>
      <w:szCs w:val="24"/>
    </w:rPr>
  </w:style>
  <w:style w:type="character" w:default="1" w:styleId="16">
    <w:name w:val="Default Paragraph Font"/>
    <w:autoRedefine/>
    <w:semiHidden/>
    <w:qFormat/>
    <w:uiPriority w:val="0"/>
  </w:style>
  <w:style w:type="table" w:default="1" w:styleId="15">
    <w:name w:val="Normal Table"/>
    <w:autoRedefine/>
    <w:semiHidden/>
    <w:qFormat/>
    <w:uiPriority w:val="0"/>
    <w:tblPr>
      <w:tblCellMar>
        <w:top w:w="0" w:type="dxa"/>
        <w:left w:w="108" w:type="dxa"/>
        <w:bottom w:w="0" w:type="dxa"/>
        <w:right w:w="108" w:type="dxa"/>
      </w:tblCellMar>
    </w:tblPr>
  </w:style>
  <w:style w:type="paragraph" w:styleId="7">
    <w:name w:val="Normal Indent"/>
    <w:basedOn w:val="1"/>
    <w:autoRedefine/>
    <w:unhideWhenUsed/>
    <w:qFormat/>
    <w:uiPriority w:val="99"/>
    <w:pPr>
      <w:ind w:firstLine="420" w:firstLineChars="200"/>
    </w:pPr>
  </w:style>
  <w:style w:type="paragraph" w:styleId="8">
    <w:name w:val="annotation text"/>
    <w:basedOn w:val="1"/>
    <w:autoRedefine/>
    <w:qFormat/>
    <w:uiPriority w:val="0"/>
    <w:pPr>
      <w:jc w:val="left"/>
    </w:pPr>
  </w:style>
  <w:style w:type="paragraph" w:styleId="9">
    <w:name w:val="toc 3"/>
    <w:basedOn w:val="1"/>
    <w:next w:val="1"/>
    <w:autoRedefine/>
    <w:qFormat/>
    <w:uiPriority w:val="0"/>
    <w:pPr>
      <w:ind w:left="840" w:leftChars="400"/>
    </w:pPr>
  </w:style>
  <w:style w:type="paragraph" w:styleId="10">
    <w:name w:val="footer"/>
    <w:basedOn w:val="1"/>
    <w:autoRedefine/>
    <w:qFormat/>
    <w:uiPriority w:val="0"/>
    <w:pPr>
      <w:tabs>
        <w:tab w:val="center" w:pos="4153"/>
        <w:tab w:val="right" w:pos="8306"/>
      </w:tabs>
      <w:snapToGrid w:val="0"/>
      <w:jc w:val="left"/>
    </w:pPr>
    <w:rPr>
      <w:sz w:val="18"/>
    </w:rPr>
  </w:style>
  <w:style w:type="paragraph" w:styleId="11">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2">
    <w:name w:val="toc 1"/>
    <w:basedOn w:val="1"/>
    <w:next w:val="1"/>
    <w:autoRedefine/>
    <w:qFormat/>
    <w:uiPriority w:val="0"/>
  </w:style>
  <w:style w:type="paragraph" w:styleId="13">
    <w:name w:val="toc 2"/>
    <w:basedOn w:val="1"/>
    <w:next w:val="1"/>
    <w:autoRedefine/>
    <w:qFormat/>
    <w:uiPriority w:val="0"/>
    <w:pPr>
      <w:ind w:left="420" w:leftChars="200"/>
    </w:pPr>
  </w:style>
  <w:style w:type="paragraph" w:styleId="14">
    <w:name w:val="Normal (Web)"/>
    <w:basedOn w:val="1"/>
    <w:autoRedefine/>
    <w:qFormat/>
    <w:uiPriority w:val="0"/>
    <w:rPr>
      <w:sz w:val="24"/>
    </w:rPr>
  </w:style>
  <w:style w:type="character" w:styleId="17">
    <w:name w:val="Strong"/>
    <w:basedOn w:val="16"/>
    <w:autoRedefine/>
    <w:qFormat/>
    <w:uiPriority w:val="22"/>
    <w:rPr>
      <w:b/>
      <w:bCs/>
    </w:rPr>
  </w:style>
  <w:style w:type="character" w:styleId="18">
    <w:name w:val="Hyperlink"/>
    <w:basedOn w:val="16"/>
    <w:autoRedefine/>
    <w:qFormat/>
    <w:uiPriority w:val="0"/>
    <w:rPr>
      <w:color w:val="0000FF"/>
      <w:u w:val="single"/>
    </w:rPr>
  </w:style>
  <w:style w:type="character" w:customStyle="1" w:styleId="19">
    <w:name w:val="标题 1 字符"/>
    <w:link w:val="2"/>
    <w:autoRedefine/>
    <w:qFormat/>
    <w:uiPriority w:val="0"/>
    <w:rPr>
      <w:rFonts w:eastAsia="思源宋体 CN Light"/>
      <w:b/>
      <w:bCs/>
      <w:kern w:val="44"/>
      <w:sz w:val="32"/>
      <w:szCs w:val="44"/>
    </w:rPr>
  </w:style>
  <w:style w:type="paragraph" w:customStyle="1" w:styleId="20">
    <w:name w:val="正文说明"/>
    <w:basedOn w:val="1"/>
    <w:autoRedefine/>
    <w:qFormat/>
    <w:uiPriority w:val="0"/>
    <w:rPr>
      <w:b/>
      <w:sz w:val="18"/>
    </w:rPr>
  </w:style>
  <w:style w:type="paragraph" w:styleId="21">
    <w:name w:val="List Paragraph"/>
    <w:basedOn w:val="1"/>
    <w:autoRedefine/>
    <w:qFormat/>
    <w:uiPriority w:val="34"/>
    <w:pPr>
      <w:ind w:firstLine="420"/>
    </w:pPr>
  </w:style>
  <w:style w:type="paragraph" w:customStyle="1" w:styleId="22">
    <w:name w:val="正文图片"/>
    <w:basedOn w:val="1"/>
    <w:autoRedefine/>
    <w:qFormat/>
    <w:uiPriority w:val="0"/>
    <w:pPr>
      <w:spacing w:beforeLines="50" w:afterLines="50"/>
      <w:ind w:firstLine="0" w:firstLineChars="0"/>
      <w:jc w:val="center"/>
    </w:p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1" Type="http://schemas.openxmlformats.org/officeDocument/2006/relationships/fontTable" Target="fontTable.xml"/><Relationship Id="rId80" Type="http://schemas.openxmlformats.org/officeDocument/2006/relationships/numbering" Target="numbering.xml"/><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34</Pages>
  <Words>4818</Words>
  <Characters>4988</Characters>
  <Lines>0</Lines>
  <Paragraphs>0</Paragraphs>
  <TotalTime>0</TotalTime>
  <ScaleCrop>false</ScaleCrop>
  <LinksUpToDate>false</LinksUpToDate>
  <CharactersWithSpaces>5184</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2025-05-20T07:41:00Z</dcterms:created>
  <dc:creator>Administrator</dc:creator>
  <cp:lastModifiedBy>Flyedt</cp:lastModifiedBy>
  <dcterms:modified xsi:type="dcterms:W3CDTF">2025-12-02T05:57:54Z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7725AC4799444151981F761E4AE47826_13</vt:lpwstr>
  </property>
  <property fmtid="{D5CDD505-2E9C-101B-9397-08002B2CF9AE}" pid="4" name="KSOTemplateDocerSaveRecord">
    <vt:lpwstr>eyJoZGlkIjoiZDg4NGU2MzY4NmY0YzMyMzc2ZTI0MTdkN2EzZGNhZjgiLCJ1c2VySWQiOiI1NDg5NDg0NjQifQ==</vt:lpwstr>
  </property>
</Properties>
</file>