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DAB640">
      <w:pPr>
        <w:spacing w:before="936" w:beforeLines="300"/>
        <w:ind w:firstLine="0" w:firstLineChars="0"/>
        <w:jc w:val="center"/>
        <w:rPr>
          <w:rFonts w:hint="eastAsia" w:ascii="华文仿宋" w:hAnsi="华文仿宋" w:eastAsia="华文仿宋" w:cs="华文仿宋"/>
          <w:b/>
          <w:sz w:val="52"/>
          <w:szCs w:val="52"/>
          <w:lang w:val="en-US" w:eastAsia="zh-CN"/>
        </w:rPr>
      </w:pPr>
      <w:r>
        <w:rPr>
          <w:rFonts w:hint="eastAsia" w:ascii="华文仿宋" w:hAnsi="华文仿宋" w:eastAsia="华文仿宋" w:cs="华文仿宋"/>
          <w:b/>
          <w:sz w:val="52"/>
          <w:szCs w:val="52"/>
          <w:lang w:val="en-US" w:eastAsia="zh-CN"/>
        </w:rPr>
        <w:t>济南公共资源交易电子平台</w:t>
      </w:r>
    </w:p>
    <w:p w14:paraId="2723B121">
      <w:pPr>
        <w:spacing w:before="936" w:beforeLines="300"/>
        <w:ind w:firstLine="0" w:firstLineChars="0"/>
        <w:jc w:val="center"/>
        <w:rPr>
          <w:rFonts w:hint="eastAsia" w:ascii="华文仿宋" w:hAnsi="华文仿宋" w:eastAsia="华文仿宋" w:cs="华文仿宋"/>
          <w:b/>
          <w:sz w:val="52"/>
          <w:szCs w:val="52"/>
          <w:lang w:eastAsia="zh-CN"/>
        </w:rPr>
      </w:pPr>
      <w:r>
        <w:rPr>
          <w:rFonts w:hint="eastAsia" w:ascii="华文仿宋" w:hAnsi="华文仿宋" w:eastAsia="华文仿宋" w:cs="华文仿宋"/>
          <w:b/>
          <w:sz w:val="52"/>
          <w:szCs w:val="52"/>
          <w:lang w:val="en-US" w:eastAsia="zh-CN"/>
        </w:rPr>
        <w:t xml:space="preserve">    —建设工程</w:t>
      </w:r>
      <w:r>
        <w:rPr>
          <w:rFonts w:hint="eastAsia" w:ascii="华文仿宋" w:hAnsi="华文仿宋" w:eastAsia="华文仿宋" w:cs="华文仿宋"/>
          <w:b/>
          <w:sz w:val="52"/>
          <w:szCs w:val="52"/>
          <w:lang w:eastAsia="zh-CN"/>
        </w:rPr>
        <w:t>操作手册（监理）</w:t>
      </w:r>
    </w:p>
    <w:p w14:paraId="5E691517">
      <w:pPr>
        <w:keepNext w:val="0"/>
        <w:keepLines w:val="0"/>
        <w:pageBreakBefore w:val="0"/>
        <w:widowControl w:val="0"/>
        <w:kinsoku/>
        <w:wordWrap/>
        <w:overflowPunct/>
        <w:topLinePunct w:val="0"/>
        <w:autoSpaceDE/>
        <w:autoSpaceDN/>
        <w:bidi w:val="0"/>
        <w:adjustRightInd/>
        <w:snapToGrid/>
        <w:spacing w:before="7801" w:beforeLines="2500"/>
        <w:ind w:firstLine="0" w:firstLineChars="0"/>
        <w:jc w:val="center"/>
        <w:textAlignment w:val="auto"/>
        <w:rPr>
          <w:rFonts w:hint="eastAsia" w:ascii="华文仿宋" w:hAnsi="华文仿宋" w:eastAsia="华文仿宋" w:cs="华文仿宋"/>
          <w:b/>
          <w:sz w:val="40"/>
          <w:szCs w:val="40"/>
          <w:lang w:val="en-US" w:eastAsia="zh-CN"/>
        </w:rPr>
      </w:pPr>
      <w:r>
        <w:rPr>
          <w:rFonts w:hint="eastAsia" w:ascii="华文仿宋" w:hAnsi="华文仿宋" w:eastAsia="华文仿宋" w:cs="华文仿宋"/>
          <w:b/>
          <w:sz w:val="40"/>
          <w:szCs w:val="40"/>
          <w:lang w:val="en-US" w:eastAsia="zh-CN"/>
        </w:rPr>
        <w:t>青岛福莱易通软件有限公司</w:t>
      </w:r>
    </w:p>
    <w:p w14:paraId="62D886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华文仿宋" w:hAnsi="华文仿宋" w:eastAsia="华文仿宋" w:cs="华文仿宋"/>
          <w:b/>
          <w:sz w:val="40"/>
          <w:szCs w:val="40"/>
        </w:rPr>
      </w:pPr>
      <w:r>
        <w:rPr>
          <w:rFonts w:hint="eastAsia" w:ascii="华文仿宋" w:hAnsi="华文仿宋" w:eastAsia="华文仿宋" w:cs="华文仿宋"/>
          <w:b/>
          <w:sz w:val="40"/>
          <w:szCs w:val="40"/>
        </w:rPr>
        <w:t>202</w:t>
      </w:r>
      <w:r>
        <w:rPr>
          <w:rFonts w:hint="eastAsia" w:ascii="华文仿宋" w:hAnsi="华文仿宋" w:eastAsia="华文仿宋" w:cs="华文仿宋"/>
          <w:b/>
          <w:sz w:val="40"/>
          <w:szCs w:val="40"/>
          <w:lang w:val="en-US" w:eastAsia="zh-CN"/>
        </w:rPr>
        <w:t>5</w:t>
      </w:r>
      <w:r>
        <w:rPr>
          <w:rFonts w:hint="eastAsia" w:ascii="华文仿宋" w:hAnsi="华文仿宋" w:eastAsia="华文仿宋" w:cs="华文仿宋"/>
          <w:b/>
          <w:sz w:val="40"/>
          <w:szCs w:val="40"/>
        </w:rPr>
        <w:t>年</w:t>
      </w:r>
      <w:r>
        <w:rPr>
          <w:rFonts w:hint="eastAsia" w:ascii="华文仿宋" w:hAnsi="华文仿宋" w:eastAsia="华文仿宋" w:cs="华文仿宋"/>
          <w:b/>
          <w:sz w:val="40"/>
          <w:szCs w:val="40"/>
          <w:lang w:val="en-US" w:eastAsia="zh-CN"/>
        </w:rPr>
        <w:t>11</w:t>
      </w:r>
      <w:r>
        <w:rPr>
          <w:rFonts w:hint="eastAsia" w:ascii="华文仿宋" w:hAnsi="华文仿宋" w:eastAsia="华文仿宋" w:cs="华文仿宋"/>
          <w:b/>
          <w:sz w:val="40"/>
          <w:szCs w:val="40"/>
        </w:rPr>
        <w:t>月</w:t>
      </w:r>
    </w:p>
    <w:p w14:paraId="5C68E74F">
      <w:pPr>
        <w:rPr>
          <w:rFonts w:hint="eastAsia" w:ascii="华文仿宋" w:hAnsi="华文仿宋" w:eastAsia="华文仿宋" w:cs="华文仿宋"/>
        </w:rPr>
      </w:pPr>
    </w:p>
    <w:p w14:paraId="3DBF0D06">
      <w:pPr>
        <w:rPr>
          <w:rFonts w:hint="eastAsia" w:ascii="华文仿宋" w:hAnsi="华文仿宋" w:eastAsia="华文仿宋" w:cs="华文仿宋"/>
          <w:b/>
          <w:sz w:val="52"/>
          <w:szCs w:val="52"/>
        </w:rPr>
      </w:pPr>
      <w:r>
        <w:rPr>
          <w:rFonts w:hint="eastAsia" w:ascii="华文仿宋" w:hAnsi="华文仿宋" w:eastAsia="华文仿宋" w:cs="华文仿宋"/>
          <w:b/>
          <w:sz w:val="52"/>
          <w:szCs w:val="52"/>
        </w:rPr>
        <w:br w:type="page"/>
      </w:r>
    </w:p>
    <w:sdt>
      <w:sdtPr>
        <w:rPr>
          <w:rFonts w:hint="eastAsia" w:ascii="华文仿宋" w:hAnsi="华文仿宋" w:eastAsia="华文仿宋" w:cs="华文仿宋"/>
          <w:kern w:val="2"/>
          <w:sz w:val="44"/>
          <w:szCs w:val="52"/>
          <w:lang w:val="en-US" w:eastAsia="zh-CN" w:bidi="ar-SA"/>
          <w14:ligatures w14:val="standardContextual"/>
        </w:rPr>
        <w:id w:val="147466527"/>
        <w15:color w:val="DBDBDB"/>
        <w:docPartObj>
          <w:docPartGallery w:val="Table of Contents"/>
          <w:docPartUnique/>
        </w:docPartObj>
      </w:sdtPr>
      <w:sdtEndPr>
        <w:rPr>
          <w:rFonts w:hint="eastAsia" w:ascii="华文仿宋" w:hAnsi="华文仿宋" w:eastAsia="华文仿宋" w:cs="华文仿宋"/>
          <w:kern w:val="2"/>
          <w:sz w:val="44"/>
          <w:szCs w:val="52"/>
          <w:lang w:val="en-US" w:eastAsia="zh-CN" w:bidi="ar-SA"/>
          <w14:ligatures w14:val="standardContextual"/>
        </w:rPr>
      </w:sdtEndPr>
      <w:sdtContent>
        <w:p w14:paraId="64470057">
          <w:pPr>
            <w:spacing w:before="0" w:beforeLines="0" w:after="0" w:afterLines="0" w:line="240" w:lineRule="auto"/>
            <w:ind w:left="0" w:leftChars="0" w:right="0" w:rightChars="0" w:firstLine="0" w:firstLineChars="0"/>
            <w:jc w:val="center"/>
            <w:rPr>
              <w:rFonts w:hint="eastAsia" w:ascii="华文仿宋" w:hAnsi="华文仿宋" w:eastAsia="华文仿宋" w:cs="华文仿宋"/>
              <w:sz w:val="44"/>
              <w:szCs w:val="52"/>
            </w:rPr>
          </w:pPr>
          <w:r>
            <w:rPr>
              <w:rFonts w:hint="eastAsia" w:ascii="华文仿宋" w:hAnsi="华文仿宋" w:eastAsia="华文仿宋" w:cs="华文仿宋"/>
              <w:sz w:val="44"/>
              <w:szCs w:val="52"/>
            </w:rPr>
            <w:t>目录</w:t>
          </w:r>
        </w:p>
        <w:p w14:paraId="2AE952D9">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TOC \o "1-3" \h \u </w:instrText>
          </w:r>
          <w:r>
            <w:rPr>
              <w:rFonts w:hint="eastAsia" w:ascii="华文仿宋" w:hAnsi="华文仿宋" w:eastAsia="华文仿宋" w:cs="华文仿宋"/>
            </w:rPr>
            <w:fldChar w:fldCharType="separate"/>
          </w: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_Toc8684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一、 代理合同、招标计划仍在现有系统进行</w:t>
          </w:r>
          <w:r>
            <w:tab/>
          </w:r>
          <w:r>
            <w:fldChar w:fldCharType="begin"/>
          </w:r>
          <w:r>
            <w:instrText xml:space="preserve"> PAGEREF _Toc8684 \h </w:instrText>
          </w:r>
          <w:r>
            <w:fldChar w:fldCharType="separate"/>
          </w:r>
          <w:r>
            <w:t>4</w:t>
          </w:r>
          <w:r>
            <w:fldChar w:fldCharType="end"/>
          </w:r>
          <w:r>
            <w:rPr>
              <w:rFonts w:hint="eastAsia" w:ascii="华文仿宋" w:hAnsi="华文仿宋" w:eastAsia="华文仿宋" w:cs="华文仿宋"/>
            </w:rPr>
            <w:fldChar w:fldCharType="end"/>
          </w:r>
        </w:p>
        <w:p w14:paraId="7E25F684">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_Toc31372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二、 信创系统入口</w:t>
          </w:r>
          <w:r>
            <w:tab/>
          </w:r>
          <w:r>
            <w:fldChar w:fldCharType="begin"/>
          </w:r>
          <w:r>
            <w:instrText xml:space="preserve"> PAGEREF _Toc31372 \h </w:instrText>
          </w:r>
          <w:r>
            <w:fldChar w:fldCharType="separate"/>
          </w:r>
          <w:r>
            <w:t>4</w:t>
          </w:r>
          <w:r>
            <w:fldChar w:fldCharType="end"/>
          </w:r>
          <w:r>
            <w:rPr>
              <w:rFonts w:hint="eastAsia" w:ascii="华文仿宋" w:hAnsi="华文仿宋" w:eastAsia="华文仿宋" w:cs="华文仿宋"/>
            </w:rPr>
            <w:fldChar w:fldCharType="end"/>
          </w:r>
        </w:p>
        <w:p w14:paraId="4739019B">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_Toc16645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三、 招标项目信息录入</w:t>
          </w:r>
          <w:r>
            <w:tab/>
          </w:r>
          <w:r>
            <w:fldChar w:fldCharType="begin"/>
          </w:r>
          <w:r>
            <w:instrText xml:space="preserve"> PAGEREF _Toc16645 \h </w:instrText>
          </w:r>
          <w:r>
            <w:fldChar w:fldCharType="separate"/>
          </w:r>
          <w:r>
            <w:t>4</w:t>
          </w:r>
          <w:r>
            <w:fldChar w:fldCharType="end"/>
          </w:r>
          <w:r>
            <w:rPr>
              <w:rFonts w:hint="eastAsia" w:ascii="华文仿宋" w:hAnsi="华文仿宋" w:eastAsia="华文仿宋" w:cs="华文仿宋"/>
            </w:rPr>
            <w:fldChar w:fldCharType="end"/>
          </w:r>
        </w:p>
        <w:p w14:paraId="4A9A5196">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_Toc23683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四、 信创浏览器配置</w:t>
          </w:r>
          <w:r>
            <w:tab/>
          </w:r>
          <w:r>
            <w:fldChar w:fldCharType="begin"/>
          </w:r>
          <w:r>
            <w:instrText xml:space="preserve"> PAGEREF _Toc23683 \h </w:instrText>
          </w:r>
          <w:r>
            <w:fldChar w:fldCharType="separate"/>
          </w:r>
          <w:r>
            <w:t>6</w:t>
          </w:r>
          <w:r>
            <w:fldChar w:fldCharType="end"/>
          </w:r>
          <w:r>
            <w:rPr>
              <w:rFonts w:hint="eastAsia" w:ascii="华文仿宋" w:hAnsi="华文仿宋" w:eastAsia="华文仿宋" w:cs="华文仿宋"/>
            </w:rPr>
            <w:fldChar w:fldCharType="end"/>
          </w:r>
        </w:p>
        <w:p w14:paraId="095E6A3D">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_Toc23929 </w:instrText>
          </w:r>
          <w:r>
            <w:rPr>
              <w:rFonts w:hint="eastAsia" w:ascii="华文仿宋" w:hAnsi="华文仿宋" w:eastAsia="华文仿宋" w:cs="华文仿宋"/>
            </w:rPr>
            <w:fldChar w:fldCharType="separate"/>
          </w:r>
          <w:r>
            <w:rPr>
              <w:rFonts w:hint="eastAsia" w:ascii="宋体" w:hAnsi="宋体" w:eastAsia="宋体" w:cs="宋体"/>
            </w:rPr>
            <w:t xml:space="preserve">1.1 </w:t>
          </w:r>
          <w:r>
            <w:rPr>
              <w:rFonts w:hint="eastAsia" w:ascii="华文仿宋" w:hAnsi="华文仿宋" w:eastAsia="华文仿宋" w:cs="华文仿宋"/>
              <w:lang w:val="en-US" w:eastAsia="zh-CN"/>
            </w:rPr>
            <w:t>浏览器要求</w:t>
          </w:r>
          <w:r>
            <w:tab/>
          </w:r>
          <w:r>
            <w:fldChar w:fldCharType="begin"/>
          </w:r>
          <w:r>
            <w:instrText xml:space="preserve"> PAGEREF _Toc23929 \h </w:instrText>
          </w:r>
          <w:r>
            <w:fldChar w:fldCharType="separate"/>
          </w:r>
          <w:r>
            <w:t>6</w:t>
          </w:r>
          <w:r>
            <w:fldChar w:fldCharType="end"/>
          </w:r>
          <w:r>
            <w:rPr>
              <w:rFonts w:hint="eastAsia" w:ascii="华文仿宋" w:hAnsi="华文仿宋" w:eastAsia="华文仿宋" w:cs="华文仿宋"/>
            </w:rPr>
            <w:fldChar w:fldCharType="end"/>
          </w:r>
        </w:p>
        <w:p w14:paraId="28AC9B70">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_Toc16309 </w:instrText>
          </w:r>
          <w:r>
            <w:rPr>
              <w:rFonts w:hint="eastAsia" w:ascii="华文仿宋" w:hAnsi="华文仿宋" w:eastAsia="华文仿宋" w:cs="华文仿宋"/>
            </w:rPr>
            <w:fldChar w:fldCharType="separate"/>
          </w:r>
          <w:r>
            <w:rPr>
              <w:rFonts w:hint="eastAsia" w:ascii="宋体" w:hAnsi="宋体" w:eastAsia="宋体" w:cs="宋体"/>
              <w:lang w:val="en-US" w:eastAsia="zh-CN"/>
            </w:rPr>
            <w:t xml:space="preserve">1.2 </w:t>
          </w:r>
          <w:r>
            <w:rPr>
              <w:rFonts w:hint="eastAsia" w:ascii="华文仿宋" w:hAnsi="华文仿宋" w:eastAsia="华文仿宋" w:cs="华文仿宋"/>
              <w:lang w:val="en-US" w:eastAsia="zh-CN"/>
            </w:rPr>
            <w:t>需安装工具</w:t>
          </w:r>
          <w:r>
            <w:tab/>
          </w:r>
          <w:r>
            <w:fldChar w:fldCharType="begin"/>
          </w:r>
          <w:r>
            <w:instrText xml:space="preserve"> PAGEREF _Toc16309 \h </w:instrText>
          </w:r>
          <w:r>
            <w:fldChar w:fldCharType="separate"/>
          </w:r>
          <w:r>
            <w:t>6</w:t>
          </w:r>
          <w:r>
            <w:fldChar w:fldCharType="end"/>
          </w:r>
          <w:r>
            <w:rPr>
              <w:rFonts w:hint="eastAsia" w:ascii="华文仿宋" w:hAnsi="华文仿宋" w:eastAsia="华文仿宋" w:cs="华文仿宋"/>
            </w:rPr>
            <w:fldChar w:fldCharType="end"/>
          </w:r>
        </w:p>
        <w:p w14:paraId="4E6AB6A2">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_Toc2906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五、 企业登录信创交易平台</w:t>
          </w:r>
          <w:r>
            <w:tab/>
          </w:r>
          <w:r>
            <w:fldChar w:fldCharType="begin"/>
          </w:r>
          <w:r>
            <w:instrText xml:space="preserve"> PAGEREF _Toc2906 \h </w:instrText>
          </w:r>
          <w:r>
            <w:fldChar w:fldCharType="separate"/>
          </w:r>
          <w:r>
            <w:t>6</w:t>
          </w:r>
          <w:r>
            <w:fldChar w:fldCharType="end"/>
          </w:r>
          <w:r>
            <w:rPr>
              <w:rFonts w:hint="eastAsia" w:ascii="华文仿宋" w:hAnsi="华文仿宋" w:eastAsia="华文仿宋" w:cs="华文仿宋"/>
            </w:rPr>
            <w:fldChar w:fldCharType="end"/>
          </w:r>
        </w:p>
        <w:p w14:paraId="3A5B5805">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_Toc11342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六、 新项目登记</w:t>
          </w:r>
          <w:r>
            <w:tab/>
          </w:r>
          <w:r>
            <w:fldChar w:fldCharType="begin"/>
          </w:r>
          <w:r>
            <w:instrText xml:space="preserve"> PAGEREF _Toc11342 \h </w:instrText>
          </w:r>
          <w:r>
            <w:fldChar w:fldCharType="separate"/>
          </w:r>
          <w:r>
            <w:t>7</w:t>
          </w:r>
          <w:r>
            <w:fldChar w:fldCharType="end"/>
          </w:r>
          <w:r>
            <w:rPr>
              <w:rFonts w:hint="eastAsia" w:ascii="华文仿宋" w:hAnsi="华文仿宋" w:eastAsia="华文仿宋" w:cs="华文仿宋"/>
            </w:rPr>
            <w:fldChar w:fldCharType="end"/>
          </w:r>
        </w:p>
        <w:p w14:paraId="2C05E3C6">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_Toc27899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七、 场地预约</w:t>
          </w:r>
          <w:r>
            <w:tab/>
          </w:r>
          <w:r>
            <w:fldChar w:fldCharType="begin"/>
          </w:r>
          <w:r>
            <w:instrText xml:space="preserve"> PAGEREF _Toc27899 \h </w:instrText>
          </w:r>
          <w:r>
            <w:fldChar w:fldCharType="separate"/>
          </w:r>
          <w:r>
            <w:t>11</w:t>
          </w:r>
          <w:r>
            <w:fldChar w:fldCharType="end"/>
          </w:r>
          <w:r>
            <w:rPr>
              <w:rFonts w:hint="eastAsia" w:ascii="华文仿宋" w:hAnsi="华文仿宋" w:eastAsia="华文仿宋" w:cs="华文仿宋"/>
            </w:rPr>
            <w:fldChar w:fldCharType="end"/>
          </w:r>
        </w:p>
        <w:p w14:paraId="35D1E88C">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_Toc29382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八、 招标公告</w:t>
          </w:r>
          <w:r>
            <w:tab/>
          </w:r>
          <w:r>
            <w:fldChar w:fldCharType="begin"/>
          </w:r>
          <w:r>
            <w:instrText xml:space="preserve"> PAGEREF _Toc29382 \h </w:instrText>
          </w:r>
          <w:r>
            <w:fldChar w:fldCharType="separate"/>
          </w:r>
          <w:r>
            <w:t>12</w:t>
          </w:r>
          <w:r>
            <w:fldChar w:fldCharType="end"/>
          </w:r>
          <w:r>
            <w:rPr>
              <w:rFonts w:hint="eastAsia" w:ascii="华文仿宋" w:hAnsi="华文仿宋" w:eastAsia="华文仿宋" w:cs="华文仿宋"/>
            </w:rPr>
            <w:fldChar w:fldCharType="end"/>
          </w:r>
        </w:p>
        <w:p w14:paraId="61827156">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_Toc12958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w:t>
          </w:r>
          <w:r>
            <w:rPr>
              <w:rFonts w:hint="eastAsia" w:ascii="华文仿宋" w:hAnsi="华文仿宋" w:eastAsia="华文仿宋" w:cs="华文仿宋"/>
            </w:rPr>
            <w:t>功能介绍</w:t>
          </w:r>
          <w:r>
            <w:tab/>
          </w:r>
          <w:r>
            <w:fldChar w:fldCharType="begin"/>
          </w:r>
          <w:r>
            <w:instrText xml:space="preserve"> PAGEREF _Toc12958 \h </w:instrText>
          </w:r>
          <w:r>
            <w:fldChar w:fldCharType="separate"/>
          </w:r>
          <w:r>
            <w:t>12</w:t>
          </w:r>
          <w:r>
            <w:fldChar w:fldCharType="end"/>
          </w:r>
          <w:r>
            <w:rPr>
              <w:rFonts w:hint="eastAsia" w:ascii="华文仿宋" w:hAnsi="华文仿宋" w:eastAsia="华文仿宋" w:cs="华文仿宋"/>
            </w:rPr>
            <w:fldChar w:fldCharType="end"/>
          </w:r>
        </w:p>
        <w:p w14:paraId="4137F37A">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_Toc17757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_Toc17757 \h </w:instrText>
          </w:r>
          <w:r>
            <w:fldChar w:fldCharType="separate"/>
          </w:r>
          <w:r>
            <w:t>12</w:t>
          </w:r>
          <w:r>
            <w:fldChar w:fldCharType="end"/>
          </w:r>
          <w:r>
            <w:rPr>
              <w:rFonts w:hint="eastAsia" w:ascii="华文仿宋" w:hAnsi="华文仿宋" w:eastAsia="华文仿宋" w:cs="华文仿宋"/>
            </w:rPr>
            <w:fldChar w:fldCharType="end"/>
          </w:r>
        </w:p>
        <w:p w14:paraId="77FEAF12">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_Toc1149 </w:instrText>
          </w:r>
          <w:r>
            <w:rPr>
              <w:rFonts w:hint="eastAsia" w:ascii="华文仿宋" w:hAnsi="华文仿宋" w:eastAsia="华文仿宋" w:cs="华文仿宋"/>
            </w:rPr>
            <w:fldChar w:fldCharType="separate"/>
          </w:r>
          <w:r>
            <w:rPr>
              <w:rFonts w:hint="eastAsia" w:ascii="华文仿宋" w:hAnsi="华文仿宋" w:eastAsia="华文仿宋" w:cs="华文仿宋"/>
            </w:rPr>
            <w:t xml:space="preserve">九、 </w:t>
          </w:r>
          <w:r>
            <w:rPr>
              <w:rFonts w:hint="eastAsia" w:ascii="华文仿宋" w:hAnsi="华文仿宋" w:eastAsia="华文仿宋" w:cs="华文仿宋"/>
              <w:bCs/>
              <w:kern w:val="2"/>
              <w:szCs w:val="32"/>
              <w:lang w:val="en-US" w:eastAsia="zh-CN" w:bidi="ar-SA"/>
              <w14:ligatures w14:val="none"/>
            </w:rPr>
            <w:t>编制招标文件</w:t>
          </w:r>
          <w:r>
            <w:tab/>
          </w:r>
          <w:r>
            <w:fldChar w:fldCharType="begin"/>
          </w:r>
          <w:r>
            <w:instrText xml:space="preserve"> PAGEREF _Toc1149 \h </w:instrText>
          </w:r>
          <w:r>
            <w:fldChar w:fldCharType="separate"/>
          </w:r>
          <w:r>
            <w:t>14</w:t>
          </w:r>
          <w:r>
            <w:fldChar w:fldCharType="end"/>
          </w:r>
          <w:r>
            <w:rPr>
              <w:rFonts w:hint="eastAsia" w:ascii="华文仿宋" w:hAnsi="华文仿宋" w:eastAsia="华文仿宋" w:cs="华文仿宋"/>
            </w:rPr>
            <w:fldChar w:fldCharType="end"/>
          </w:r>
        </w:p>
        <w:p w14:paraId="5C0C20B7">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_Toc22130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（一）基本信息：</w:t>
          </w:r>
          <w:r>
            <w:rPr>
              <w:rFonts w:hint="eastAsia" w:ascii="华文仿宋" w:hAnsi="华文仿宋" w:eastAsia="华文仿宋" w:cs="华文仿宋"/>
              <w:szCs w:val="32"/>
              <w:lang w:val="en-US" w:eastAsia="zh-CN"/>
            </w:rPr>
            <w:t>展示项目标段基本信息。</w:t>
          </w:r>
          <w:r>
            <w:tab/>
          </w:r>
          <w:r>
            <w:fldChar w:fldCharType="begin"/>
          </w:r>
          <w:r>
            <w:instrText xml:space="preserve"> PAGEREF _Toc22130 \h </w:instrText>
          </w:r>
          <w:r>
            <w:fldChar w:fldCharType="separate"/>
          </w:r>
          <w:r>
            <w:t>14</w:t>
          </w:r>
          <w:r>
            <w:fldChar w:fldCharType="end"/>
          </w:r>
          <w:r>
            <w:rPr>
              <w:rFonts w:hint="eastAsia" w:ascii="华文仿宋" w:hAnsi="华文仿宋" w:eastAsia="华文仿宋" w:cs="华文仿宋"/>
            </w:rPr>
            <w:fldChar w:fldCharType="end"/>
          </w:r>
        </w:p>
        <w:p w14:paraId="7627C261">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_Toc4677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（二）开标一览表</w:t>
          </w:r>
          <w:r>
            <w:tab/>
          </w:r>
          <w:r>
            <w:fldChar w:fldCharType="begin"/>
          </w:r>
          <w:r>
            <w:instrText xml:space="preserve"> PAGEREF _Toc4677 \h </w:instrText>
          </w:r>
          <w:r>
            <w:fldChar w:fldCharType="separate"/>
          </w:r>
          <w:r>
            <w:t>15</w:t>
          </w:r>
          <w:r>
            <w:fldChar w:fldCharType="end"/>
          </w:r>
          <w:r>
            <w:rPr>
              <w:rFonts w:hint="eastAsia" w:ascii="华文仿宋" w:hAnsi="华文仿宋" w:eastAsia="华文仿宋" w:cs="华文仿宋"/>
            </w:rPr>
            <w:fldChar w:fldCharType="end"/>
          </w:r>
        </w:p>
        <w:p w14:paraId="1C52E784">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_Toc27298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（三） 工程量清单</w:t>
          </w:r>
          <w:r>
            <w:tab/>
          </w:r>
          <w:r>
            <w:fldChar w:fldCharType="begin"/>
          </w:r>
          <w:r>
            <w:instrText xml:space="preserve"> PAGEREF _Toc27298 \h </w:instrText>
          </w:r>
          <w:r>
            <w:fldChar w:fldCharType="separate"/>
          </w:r>
          <w:r>
            <w:t>17</w:t>
          </w:r>
          <w:r>
            <w:fldChar w:fldCharType="end"/>
          </w:r>
          <w:r>
            <w:rPr>
              <w:rFonts w:hint="eastAsia" w:ascii="华文仿宋" w:hAnsi="华文仿宋" w:eastAsia="华文仿宋" w:cs="华文仿宋"/>
            </w:rPr>
            <w:fldChar w:fldCharType="end"/>
          </w:r>
        </w:p>
        <w:p w14:paraId="6FEC768F">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_Toc6972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（四）评标办法</w:t>
          </w:r>
          <w:r>
            <w:tab/>
          </w:r>
          <w:r>
            <w:fldChar w:fldCharType="begin"/>
          </w:r>
          <w:r>
            <w:instrText xml:space="preserve"> PAGEREF _Toc6972 \h </w:instrText>
          </w:r>
          <w:r>
            <w:fldChar w:fldCharType="separate"/>
          </w:r>
          <w:r>
            <w:t>17</w:t>
          </w:r>
          <w:r>
            <w:fldChar w:fldCharType="end"/>
          </w:r>
          <w:r>
            <w:rPr>
              <w:rFonts w:hint="eastAsia" w:ascii="华文仿宋" w:hAnsi="华文仿宋" w:eastAsia="华文仿宋" w:cs="华文仿宋"/>
            </w:rPr>
            <w:fldChar w:fldCharType="end"/>
          </w:r>
        </w:p>
        <w:p w14:paraId="21C478CE">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_Toc1232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第一步：选择评标办法参数设置模版</w:t>
          </w:r>
          <w:r>
            <w:tab/>
          </w:r>
          <w:r>
            <w:fldChar w:fldCharType="begin"/>
          </w:r>
          <w:r>
            <w:instrText xml:space="preserve"> PAGEREF _Toc1232 \h </w:instrText>
          </w:r>
          <w:r>
            <w:fldChar w:fldCharType="separate"/>
          </w:r>
          <w:r>
            <w:t>17</w:t>
          </w:r>
          <w:r>
            <w:fldChar w:fldCharType="end"/>
          </w:r>
          <w:r>
            <w:rPr>
              <w:rFonts w:hint="eastAsia" w:ascii="华文仿宋" w:hAnsi="华文仿宋" w:eastAsia="华文仿宋" w:cs="华文仿宋"/>
            </w:rPr>
            <w:fldChar w:fldCharType="end"/>
          </w:r>
        </w:p>
        <w:p w14:paraId="3E595F7E">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_Toc7324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第二步：设置投标文件组成</w:t>
          </w:r>
          <w:r>
            <w:tab/>
          </w:r>
          <w:r>
            <w:fldChar w:fldCharType="begin"/>
          </w:r>
          <w:r>
            <w:instrText xml:space="preserve"> PAGEREF _Toc7324 \h </w:instrText>
          </w:r>
          <w:r>
            <w:fldChar w:fldCharType="separate"/>
          </w:r>
          <w:r>
            <w:t>18</w:t>
          </w:r>
          <w:r>
            <w:fldChar w:fldCharType="end"/>
          </w:r>
          <w:r>
            <w:rPr>
              <w:rFonts w:hint="eastAsia" w:ascii="华文仿宋" w:hAnsi="华文仿宋" w:eastAsia="华文仿宋" w:cs="华文仿宋"/>
            </w:rPr>
            <w:fldChar w:fldCharType="end"/>
          </w:r>
        </w:p>
        <w:p w14:paraId="3EFBC1C8">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_Toc17290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第三步：评标办法参数设置</w:t>
          </w:r>
          <w:r>
            <w:tab/>
          </w:r>
          <w:r>
            <w:fldChar w:fldCharType="begin"/>
          </w:r>
          <w:r>
            <w:instrText xml:space="preserve"> PAGEREF _Toc17290 \h </w:instrText>
          </w:r>
          <w:r>
            <w:fldChar w:fldCharType="separate"/>
          </w:r>
          <w:r>
            <w:t>20</w:t>
          </w:r>
          <w:r>
            <w:fldChar w:fldCharType="end"/>
          </w:r>
          <w:r>
            <w:rPr>
              <w:rFonts w:hint="eastAsia" w:ascii="华文仿宋" w:hAnsi="华文仿宋" w:eastAsia="华文仿宋" w:cs="华文仿宋"/>
            </w:rPr>
            <w:fldChar w:fldCharType="end"/>
          </w:r>
        </w:p>
        <w:p w14:paraId="51071575">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_Toc32765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（五）编制招标书</w:t>
          </w:r>
          <w:r>
            <w:tab/>
          </w:r>
          <w:r>
            <w:fldChar w:fldCharType="begin"/>
          </w:r>
          <w:r>
            <w:instrText xml:space="preserve"> PAGEREF _Toc32765 \h </w:instrText>
          </w:r>
          <w:r>
            <w:fldChar w:fldCharType="separate"/>
          </w:r>
          <w:r>
            <w:t>22</w:t>
          </w:r>
          <w:r>
            <w:fldChar w:fldCharType="end"/>
          </w:r>
          <w:r>
            <w:rPr>
              <w:rFonts w:hint="eastAsia" w:ascii="华文仿宋" w:hAnsi="华文仿宋" w:eastAsia="华文仿宋" w:cs="华文仿宋"/>
            </w:rPr>
            <w:fldChar w:fldCharType="end"/>
          </w:r>
        </w:p>
        <w:p w14:paraId="018B4281">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_Toc606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5.1第一部分 招标公告</w:t>
          </w:r>
          <w:r>
            <w:tab/>
          </w:r>
          <w:r>
            <w:fldChar w:fldCharType="begin"/>
          </w:r>
          <w:r>
            <w:instrText xml:space="preserve"> PAGEREF _Toc606 \h </w:instrText>
          </w:r>
          <w:r>
            <w:fldChar w:fldCharType="separate"/>
          </w:r>
          <w:r>
            <w:t>23</w:t>
          </w:r>
          <w:r>
            <w:fldChar w:fldCharType="end"/>
          </w:r>
          <w:r>
            <w:rPr>
              <w:rFonts w:hint="eastAsia" w:ascii="华文仿宋" w:hAnsi="华文仿宋" w:eastAsia="华文仿宋" w:cs="华文仿宋"/>
            </w:rPr>
            <w:fldChar w:fldCharType="end"/>
          </w:r>
        </w:p>
        <w:p w14:paraId="148AB504">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_Toc12728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5.2第二部分 投标人须知</w:t>
          </w:r>
          <w:r>
            <w:tab/>
          </w:r>
          <w:r>
            <w:fldChar w:fldCharType="begin"/>
          </w:r>
          <w:r>
            <w:instrText xml:space="preserve"> PAGEREF _Toc12728 \h </w:instrText>
          </w:r>
          <w:r>
            <w:fldChar w:fldCharType="separate"/>
          </w:r>
          <w:r>
            <w:t>23</w:t>
          </w:r>
          <w:r>
            <w:fldChar w:fldCharType="end"/>
          </w:r>
          <w:r>
            <w:rPr>
              <w:rFonts w:hint="eastAsia" w:ascii="华文仿宋" w:hAnsi="华文仿宋" w:eastAsia="华文仿宋" w:cs="华文仿宋"/>
            </w:rPr>
            <w:fldChar w:fldCharType="end"/>
          </w:r>
        </w:p>
        <w:p w14:paraId="7717516B">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_Toc10020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5.3第三部分 评标办法</w:t>
          </w:r>
          <w:r>
            <w:tab/>
          </w:r>
          <w:r>
            <w:fldChar w:fldCharType="begin"/>
          </w:r>
          <w:r>
            <w:instrText xml:space="preserve"> PAGEREF _Toc10020 \h </w:instrText>
          </w:r>
          <w:r>
            <w:fldChar w:fldCharType="separate"/>
          </w:r>
          <w:r>
            <w:t>26</w:t>
          </w:r>
          <w:r>
            <w:fldChar w:fldCharType="end"/>
          </w:r>
          <w:r>
            <w:rPr>
              <w:rFonts w:hint="eastAsia" w:ascii="华文仿宋" w:hAnsi="华文仿宋" w:eastAsia="华文仿宋" w:cs="华文仿宋"/>
            </w:rPr>
            <w:fldChar w:fldCharType="end"/>
          </w:r>
        </w:p>
        <w:p w14:paraId="12B55F05">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_Toc1956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5.4第四部分 合同条款及格式</w:t>
          </w:r>
          <w:r>
            <w:tab/>
          </w:r>
          <w:r>
            <w:fldChar w:fldCharType="begin"/>
          </w:r>
          <w:r>
            <w:instrText xml:space="preserve"> PAGEREF _Toc1956 \h </w:instrText>
          </w:r>
          <w:r>
            <w:fldChar w:fldCharType="separate"/>
          </w:r>
          <w:r>
            <w:t>26</w:t>
          </w:r>
          <w:r>
            <w:fldChar w:fldCharType="end"/>
          </w:r>
          <w:r>
            <w:rPr>
              <w:rFonts w:hint="eastAsia" w:ascii="华文仿宋" w:hAnsi="华文仿宋" w:eastAsia="华文仿宋" w:cs="华文仿宋"/>
            </w:rPr>
            <w:fldChar w:fldCharType="end"/>
          </w:r>
        </w:p>
        <w:p w14:paraId="7D69D5EA">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_Toc582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5.5第五部分 工程量清单</w:t>
          </w:r>
          <w:r>
            <w:tab/>
          </w:r>
          <w:r>
            <w:fldChar w:fldCharType="begin"/>
          </w:r>
          <w:r>
            <w:instrText xml:space="preserve"> PAGEREF _Toc582 \h </w:instrText>
          </w:r>
          <w:r>
            <w:fldChar w:fldCharType="separate"/>
          </w:r>
          <w:r>
            <w:t>27</w:t>
          </w:r>
          <w:r>
            <w:fldChar w:fldCharType="end"/>
          </w:r>
          <w:r>
            <w:rPr>
              <w:rFonts w:hint="eastAsia" w:ascii="华文仿宋" w:hAnsi="华文仿宋" w:eastAsia="华文仿宋" w:cs="华文仿宋"/>
            </w:rPr>
            <w:fldChar w:fldCharType="end"/>
          </w:r>
        </w:p>
        <w:p w14:paraId="70EE3C52">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_Toc25260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5.6第六部分 图纸</w:t>
          </w:r>
          <w:r>
            <w:tab/>
          </w:r>
          <w:r>
            <w:fldChar w:fldCharType="begin"/>
          </w:r>
          <w:r>
            <w:instrText xml:space="preserve"> PAGEREF _Toc25260 \h </w:instrText>
          </w:r>
          <w:r>
            <w:fldChar w:fldCharType="separate"/>
          </w:r>
          <w:r>
            <w:t>27</w:t>
          </w:r>
          <w:r>
            <w:fldChar w:fldCharType="end"/>
          </w:r>
          <w:r>
            <w:rPr>
              <w:rFonts w:hint="eastAsia" w:ascii="华文仿宋" w:hAnsi="华文仿宋" w:eastAsia="华文仿宋" w:cs="华文仿宋"/>
            </w:rPr>
            <w:fldChar w:fldCharType="end"/>
          </w:r>
        </w:p>
        <w:p w14:paraId="215B5F53">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_Toc8838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5.7第七部分 技术标准和要求</w:t>
          </w:r>
          <w:r>
            <w:tab/>
          </w:r>
          <w:r>
            <w:fldChar w:fldCharType="begin"/>
          </w:r>
          <w:r>
            <w:instrText xml:space="preserve"> PAGEREF _Toc8838 \h </w:instrText>
          </w:r>
          <w:r>
            <w:fldChar w:fldCharType="separate"/>
          </w:r>
          <w:r>
            <w:t>28</w:t>
          </w:r>
          <w:r>
            <w:fldChar w:fldCharType="end"/>
          </w:r>
          <w:r>
            <w:rPr>
              <w:rFonts w:hint="eastAsia" w:ascii="华文仿宋" w:hAnsi="华文仿宋" w:eastAsia="华文仿宋" w:cs="华文仿宋"/>
            </w:rPr>
            <w:fldChar w:fldCharType="end"/>
          </w:r>
        </w:p>
        <w:p w14:paraId="5F514A32">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_Toc2563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5.8第*章：自行增加新章节</w:t>
          </w:r>
          <w:r>
            <w:tab/>
          </w:r>
          <w:r>
            <w:fldChar w:fldCharType="begin"/>
          </w:r>
          <w:r>
            <w:instrText xml:space="preserve"> PAGEREF _Toc2563 \h </w:instrText>
          </w:r>
          <w:r>
            <w:fldChar w:fldCharType="separate"/>
          </w:r>
          <w:r>
            <w:t>28</w:t>
          </w:r>
          <w:r>
            <w:fldChar w:fldCharType="end"/>
          </w:r>
          <w:r>
            <w:rPr>
              <w:rFonts w:hint="eastAsia" w:ascii="华文仿宋" w:hAnsi="华文仿宋" w:eastAsia="华文仿宋" w:cs="华文仿宋"/>
            </w:rPr>
            <w:fldChar w:fldCharType="end"/>
          </w:r>
        </w:p>
        <w:p w14:paraId="31E5E115">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_Toc16352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5.9第*章：投标文件格式</w:t>
          </w:r>
          <w:r>
            <w:tab/>
          </w:r>
          <w:r>
            <w:fldChar w:fldCharType="begin"/>
          </w:r>
          <w:r>
            <w:instrText xml:space="preserve"> PAGEREF _Toc16352 \h </w:instrText>
          </w:r>
          <w:r>
            <w:fldChar w:fldCharType="separate"/>
          </w:r>
          <w:r>
            <w:t>29</w:t>
          </w:r>
          <w:r>
            <w:fldChar w:fldCharType="end"/>
          </w:r>
          <w:r>
            <w:rPr>
              <w:rFonts w:hint="eastAsia" w:ascii="华文仿宋" w:hAnsi="华文仿宋" w:eastAsia="华文仿宋" w:cs="华文仿宋"/>
            </w:rPr>
            <w:fldChar w:fldCharType="end"/>
          </w:r>
        </w:p>
        <w:p w14:paraId="77370944">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_Toc29952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5.10其他文件</w:t>
          </w:r>
          <w:r>
            <w:tab/>
          </w:r>
          <w:r>
            <w:fldChar w:fldCharType="begin"/>
          </w:r>
          <w:r>
            <w:instrText xml:space="preserve"> PAGEREF _Toc29952 \h </w:instrText>
          </w:r>
          <w:r>
            <w:fldChar w:fldCharType="separate"/>
          </w:r>
          <w:r>
            <w:t>29</w:t>
          </w:r>
          <w:r>
            <w:fldChar w:fldCharType="end"/>
          </w:r>
          <w:r>
            <w:rPr>
              <w:rFonts w:hint="eastAsia" w:ascii="华文仿宋" w:hAnsi="华文仿宋" w:eastAsia="华文仿宋" w:cs="华文仿宋"/>
            </w:rPr>
            <w:fldChar w:fldCharType="end"/>
          </w:r>
        </w:p>
        <w:p w14:paraId="4BD1CFE4">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_Toc15981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（六）文件汇总</w:t>
          </w:r>
          <w:r>
            <w:tab/>
          </w:r>
          <w:r>
            <w:fldChar w:fldCharType="begin"/>
          </w:r>
          <w:r>
            <w:instrText xml:space="preserve"> PAGEREF _Toc15981 \h </w:instrText>
          </w:r>
          <w:r>
            <w:fldChar w:fldCharType="separate"/>
          </w:r>
          <w:r>
            <w:t>29</w:t>
          </w:r>
          <w:r>
            <w:fldChar w:fldCharType="end"/>
          </w:r>
          <w:r>
            <w:rPr>
              <w:rFonts w:hint="eastAsia" w:ascii="华文仿宋" w:hAnsi="华文仿宋" w:eastAsia="华文仿宋" w:cs="华文仿宋"/>
            </w:rPr>
            <w:fldChar w:fldCharType="end"/>
          </w:r>
        </w:p>
        <w:p w14:paraId="6246F634">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_Toc8432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（七）发布公告</w:t>
          </w:r>
          <w:r>
            <w:tab/>
          </w:r>
          <w:r>
            <w:fldChar w:fldCharType="begin"/>
          </w:r>
          <w:r>
            <w:instrText xml:space="preserve"> PAGEREF _Toc8432 \h </w:instrText>
          </w:r>
          <w:r>
            <w:fldChar w:fldCharType="separate"/>
          </w:r>
          <w:r>
            <w:t>30</w:t>
          </w:r>
          <w:r>
            <w:fldChar w:fldCharType="end"/>
          </w:r>
          <w:r>
            <w:rPr>
              <w:rFonts w:hint="eastAsia" w:ascii="华文仿宋" w:hAnsi="华文仿宋" w:eastAsia="华文仿宋" w:cs="华文仿宋"/>
            </w:rPr>
            <w:fldChar w:fldCharType="end"/>
          </w:r>
        </w:p>
        <w:p w14:paraId="78849319">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_Toc4471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十、变更公告</w:t>
          </w:r>
          <w:r>
            <w:tab/>
          </w:r>
          <w:r>
            <w:fldChar w:fldCharType="begin"/>
          </w:r>
          <w:r>
            <w:instrText xml:space="preserve"> PAGEREF _Toc4471 \h </w:instrText>
          </w:r>
          <w:r>
            <w:fldChar w:fldCharType="separate"/>
          </w:r>
          <w:r>
            <w:t>32</w:t>
          </w:r>
          <w:r>
            <w:fldChar w:fldCharType="end"/>
          </w:r>
          <w:r>
            <w:rPr>
              <w:rFonts w:hint="eastAsia" w:ascii="华文仿宋" w:hAnsi="华文仿宋" w:eastAsia="华文仿宋" w:cs="华文仿宋"/>
            </w:rPr>
            <w:fldChar w:fldCharType="end"/>
          </w:r>
        </w:p>
        <w:p w14:paraId="5FC7AC3D">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_Toc14942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_Toc14942 \h </w:instrText>
          </w:r>
          <w:r>
            <w:fldChar w:fldCharType="separate"/>
          </w:r>
          <w:r>
            <w:t>32</w:t>
          </w:r>
          <w:r>
            <w:fldChar w:fldCharType="end"/>
          </w:r>
          <w:r>
            <w:rPr>
              <w:rFonts w:hint="eastAsia" w:ascii="华文仿宋" w:hAnsi="华文仿宋" w:eastAsia="华文仿宋" w:cs="华文仿宋"/>
            </w:rPr>
            <w:fldChar w:fldCharType="end"/>
          </w:r>
        </w:p>
        <w:p w14:paraId="1E717E0E">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_Toc18467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_Toc18467 \h </w:instrText>
          </w:r>
          <w:r>
            <w:fldChar w:fldCharType="separate"/>
          </w:r>
          <w:r>
            <w:t>32</w:t>
          </w:r>
          <w:r>
            <w:fldChar w:fldCharType="end"/>
          </w:r>
          <w:r>
            <w:rPr>
              <w:rFonts w:hint="eastAsia" w:ascii="华文仿宋" w:hAnsi="华文仿宋" w:eastAsia="华文仿宋" w:cs="华文仿宋"/>
            </w:rPr>
            <w:fldChar w:fldCharType="end"/>
          </w:r>
        </w:p>
        <w:p w14:paraId="5A3FAD9E">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_Toc23962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十一、澄清公告</w:t>
          </w:r>
          <w:r>
            <w:tab/>
          </w:r>
          <w:r>
            <w:fldChar w:fldCharType="begin"/>
          </w:r>
          <w:r>
            <w:instrText xml:space="preserve"> PAGEREF _Toc23962 \h </w:instrText>
          </w:r>
          <w:r>
            <w:fldChar w:fldCharType="separate"/>
          </w:r>
          <w:r>
            <w:t>34</w:t>
          </w:r>
          <w:r>
            <w:fldChar w:fldCharType="end"/>
          </w:r>
          <w:r>
            <w:rPr>
              <w:rFonts w:hint="eastAsia" w:ascii="华文仿宋" w:hAnsi="华文仿宋" w:eastAsia="华文仿宋" w:cs="华文仿宋"/>
            </w:rPr>
            <w:fldChar w:fldCharType="end"/>
          </w:r>
        </w:p>
        <w:p w14:paraId="6C0DC9EA">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_Toc6224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_Toc6224 \h </w:instrText>
          </w:r>
          <w:r>
            <w:fldChar w:fldCharType="separate"/>
          </w:r>
          <w:r>
            <w:t>34</w:t>
          </w:r>
          <w:r>
            <w:fldChar w:fldCharType="end"/>
          </w:r>
          <w:r>
            <w:rPr>
              <w:rFonts w:hint="eastAsia" w:ascii="华文仿宋" w:hAnsi="华文仿宋" w:eastAsia="华文仿宋" w:cs="华文仿宋"/>
            </w:rPr>
            <w:fldChar w:fldCharType="end"/>
          </w:r>
        </w:p>
        <w:p w14:paraId="2E507976">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_Toc4237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_Toc4237 \h </w:instrText>
          </w:r>
          <w:r>
            <w:fldChar w:fldCharType="separate"/>
          </w:r>
          <w:r>
            <w:t>34</w:t>
          </w:r>
          <w:r>
            <w:fldChar w:fldCharType="end"/>
          </w:r>
          <w:r>
            <w:rPr>
              <w:rFonts w:hint="eastAsia" w:ascii="华文仿宋" w:hAnsi="华文仿宋" w:eastAsia="华文仿宋" w:cs="华文仿宋"/>
            </w:rPr>
            <w:fldChar w:fldCharType="end"/>
          </w:r>
        </w:p>
        <w:p w14:paraId="45A4B0E8">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_Toc8614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十二、场地变更</w:t>
          </w:r>
          <w:r>
            <w:tab/>
          </w:r>
          <w:r>
            <w:fldChar w:fldCharType="begin"/>
          </w:r>
          <w:r>
            <w:instrText xml:space="preserve"> PAGEREF _Toc8614 \h </w:instrText>
          </w:r>
          <w:r>
            <w:fldChar w:fldCharType="separate"/>
          </w:r>
          <w:r>
            <w:t>35</w:t>
          </w:r>
          <w:r>
            <w:fldChar w:fldCharType="end"/>
          </w:r>
          <w:r>
            <w:rPr>
              <w:rFonts w:hint="eastAsia" w:ascii="华文仿宋" w:hAnsi="华文仿宋" w:eastAsia="华文仿宋" w:cs="华文仿宋"/>
            </w:rPr>
            <w:fldChar w:fldCharType="end"/>
          </w:r>
        </w:p>
        <w:p w14:paraId="70CDDD4B">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_Toc26653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_Toc26653 \h </w:instrText>
          </w:r>
          <w:r>
            <w:fldChar w:fldCharType="separate"/>
          </w:r>
          <w:r>
            <w:t>35</w:t>
          </w:r>
          <w:r>
            <w:fldChar w:fldCharType="end"/>
          </w:r>
          <w:r>
            <w:rPr>
              <w:rFonts w:hint="eastAsia" w:ascii="华文仿宋" w:hAnsi="华文仿宋" w:eastAsia="华文仿宋" w:cs="华文仿宋"/>
            </w:rPr>
            <w:fldChar w:fldCharType="end"/>
          </w:r>
        </w:p>
        <w:p w14:paraId="109C8488">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_Toc12776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_Toc12776 \h </w:instrText>
          </w:r>
          <w:r>
            <w:fldChar w:fldCharType="separate"/>
          </w:r>
          <w:r>
            <w:t>35</w:t>
          </w:r>
          <w:r>
            <w:fldChar w:fldCharType="end"/>
          </w:r>
          <w:r>
            <w:rPr>
              <w:rFonts w:hint="eastAsia" w:ascii="华文仿宋" w:hAnsi="华文仿宋" w:eastAsia="华文仿宋" w:cs="华文仿宋"/>
            </w:rPr>
            <w:fldChar w:fldCharType="end"/>
          </w:r>
        </w:p>
        <w:p w14:paraId="6CB0D22D">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_Toc7588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十三、终止/废标公告</w:t>
          </w:r>
          <w:r>
            <w:tab/>
          </w:r>
          <w:r>
            <w:fldChar w:fldCharType="begin"/>
          </w:r>
          <w:r>
            <w:instrText xml:space="preserve"> PAGEREF _Toc7588 \h </w:instrText>
          </w:r>
          <w:r>
            <w:fldChar w:fldCharType="separate"/>
          </w:r>
          <w:r>
            <w:t>36</w:t>
          </w:r>
          <w:r>
            <w:fldChar w:fldCharType="end"/>
          </w:r>
          <w:r>
            <w:rPr>
              <w:rFonts w:hint="eastAsia" w:ascii="华文仿宋" w:hAnsi="华文仿宋" w:eastAsia="华文仿宋" w:cs="华文仿宋"/>
            </w:rPr>
            <w:fldChar w:fldCharType="end"/>
          </w:r>
        </w:p>
        <w:p w14:paraId="6EAEB0A5">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_Toc23814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_Toc23814 \h </w:instrText>
          </w:r>
          <w:r>
            <w:fldChar w:fldCharType="separate"/>
          </w:r>
          <w:r>
            <w:t>36</w:t>
          </w:r>
          <w:r>
            <w:fldChar w:fldCharType="end"/>
          </w:r>
          <w:r>
            <w:rPr>
              <w:rFonts w:hint="eastAsia" w:ascii="华文仿宋" w:hAnsi="华文仿宋" w:eastAsia="华文仿宋" w:cs="华文仿宋"/>
            </w:rPr>
            <w:fldChar w:fldCharType="end"/>
          </w:r>
        </w:p>
        <w:p w14:paraId="53AC7804">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_Toc15699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_Toc15699 \h </w:instrText>
          </w:r>
          <w:r>
            <w:fldChar w:fldCharType="separate"/>
          </w:r>
          <w:r>
            <w:t>36</w:t>
          </w:r>
          <w:r>
            <w:fldChar w:fldCharType="end"/>
          </w:r>
          <w:r>
            <w:rPr>
              <w:rFonts w:hint="eastAsia" w:ascii="华文仿宋" w:hAnsi="华文仿宋" w:eastAsia="华文仿宋" w:cs="华文仿宋"/>
            </w:rPr>
            <w:fldChar w:fldCharType="end"/>
          </w:r>
        </w:p>
        <w:p w14:paraId="614FA9BE">
          <w:pPr>
            <w:rPr>
              <w:rFonts w:hint="eastAsia" w:ascii="华文仿宋" w:hAnsi="华文仿宋" w:eastAsia="华文仿宋" w:cs="华文仿宋"/>
            </w:rPr>
          </w:pPr>
          <w:r>
            <w:rPr>
              <w:rFonts w:hint="eastAsia" w:ascii="华文仿宋" w:hAnsi="华文仿宋" w:eastAsia="华文仿宋" w:cs="华文仿宋"/>
            </w:rPr>
            <w:fldChar w:fldCharType="end"/>
          </w:r>
        </w:p>
      </w:sdtContent>
    </w:sdt>
    <w:p w14:paraId="6071911E">
      <w:pPr>
        <w:rPr>
          <w:rFonts w:hint="eastAsia" w:ascii="华文仿宋" w:hAnsi="华文仿宋" w:eastAsia="华文仿宋" w:cs="华文仿宋"/>
        </w:rPr>
      </w:pPr>
    </w:p>
    <w:p w14:paraId="7E87B50C">
      <w:pPr>
        <w:rPr>
          <w:rFonts w:hint="eastAsia" w:ascii="华文仿宋" w:hAnsi="华文仿宋" w:eastAsia="华文仿宋" w:cs="华文仿宋"/>
          <w:b/>
          <w:sz w:val="52"/>
          <w:szCs w:val="52"/>
        </w:rPr>
      </w:pPr>
      <w:r>
        <w:rPr>
          <w:rFonts w:hint="eastAsia" w:ascii="华文仿宋" w:hAnsi="华文仿宋" w:eastAsia="华文仿宋" w:cs="华文仿宋"/>
          <w:b/>
          <w:sz w:val="52"/>
          <w:szCs w:val="52"/>
        </w:rPr>
        <w:br w:type="page"/>
      </w:r>
    </w:p>
    <w:p w14:paraId="3E3C4C37">
      <w:pPr>
        <w:pStyle w:val="2"/>
        <w:rPr>
          <w:rFonts w:hint="eastAsia" w:ascii="华文仿宋" w:hAnsi="华文仿宋" w:eastAsia="华文仿宋" w:cs="华文仿宋"/>
          <w:b/>
          <w:bCs/>
          <w:kern w:val="2"/>
          <w:sz w:val="32"/>
          <w:szCs w:val="32"/>
          <w:lang w:val="en-US" w:eastAsia="zh-CN" w:bidi="ar-SA"/>
          <w14:ligatures w14:val="none"/>
        </w:rPr>
      </w:pPr>
      <w:bookmarkStart w:id="0" w:name="_Toc8684"/>
      <w:r>
        <w:rPr>
          <w:rFonts w:hint="eastAsia" w:ascii="华文仿宋" w:hAnsi="华文仿宋" w:eastAsia="华文仿宋" w:cs="华文仿宋"/>
          <w:b/>
          <w:bCs/>
          <w:kern w:val="2"/>
          <w:sz w:val="32"/>
          <w:szCs w:val="32"/>
          <w:lang w:val="en-US" w:eastAsia="zh-CN" w:bidi="ar-SA"/>
          <w14:ligatures w14:val="none"/>
        </w:rPr>
        <w:t>代理合同、招标计划仍在现有系统进行</w:t>
      </w:r>
      <w:bookmarkEnd w:id="0"/>
    </w:p>
    <w:p w14:paraId="5FAA4E86">
      <w:pPr>
        <w:numPr>
          <w:ilvl w:val="0"/>
          <w:numId w:val="0"/>
        </w:numPr>
      </w:pPr>
      <w:r>
        <w:drawing>
          <wp:inline distT="0" distB="0" distL="114300" distR="114300">
            <wp:extent cx="5264785" cy="1055370"/>
            <wp:effectExtent l="0" t="0" r="12065" b="1143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6"/>
                    <a:stretch>
                      <a:fillRect/>
                    </a:stretch>
                  </pic:blipFill>
                  <pic:spPr>
                    <a:xfrm>
                      <a:off x="0" y="0"/>
                      <a:ext cx="5264785" cy="1055370"/>
                    </a:xfrm>
                    <a:prstGeom prst="rect">
                      <a:avLst/>
                    </a:prstGeom>
                    <a:noFill/>
                    <a:ln>
                      <a:noFill/>
                    </a:ln>
                  </pic:spPr>
                </pic:pic>
              </a:graphicData>
            </a:graphic>
          </wp:inline>
        </w:drawing>
      </w:r>
    </w:p>
    <w:p w14:paraId="46D8FF33">
      <w:pPr>
        <w:pStyle w:val="2"/>
        <w:rPr>
          <w:rFonts w:hint="eastAsia" w:ascii="华文仿宋" w:hAnsi="华文仿宋" w:eastAsia="华文仿宋" w:cs="华文仿宋"/>
          <w:b/>
          <w:bCs/>
          <w:kern w:val="2"/>
          <w:sz w:val="32"/>
          <w:szCs w:val="32"/>
          <w:lang w:val="en-US" w:eastAsia="zh-CN" w:bidi="ar-SA"/>
          <w14:ligatures w14:val="none"/>
        </w:rPr>
      </w:pPr>
      <w:bookmarkStart w:id="1" w:name="_Toc31372"/>
      <w:r>
        <w:rPr>
          <w:rFonts w:hint="eastAsia" w:ascii="华文仿宋" w:hAnsi="华文仿宋" w:eastAsia="华文仿宋" w:cs="华文仿宋"/>
          <w:b/>
          <w:bCs/>
          <w:kern w:val="2"/>
          <w:sz w:val="32"/>
          <w:szCs w:val="32"/>
          <w:lang w:val="en-US" w:eastAsia="zh-CN" w:bidi="ar-SA"/>
          <w14:ligatures w14:val="none"/>
        </w:rPr>
        <w:t>信创系统入口</w:t>
      </w:r>
      <w:bookmarkEnd w:id="1"/>
    </w:p>
    <w:p w14:paraId="1C8E9C98">
      <w:pPr>
        <w:numPr>
          <w:ilvl w:val="0"/>
          <w:numId w:val="0"/>
        </w:numPr>
        <w:ind w:firstLine="480" w:firstLineChars="200"/>
        <w:rPr>
          <w:rFonts w:ascii="宋体" w:hAnsi="宋体" w:eastAsia="宋体" w:cs="宋体"/>
          <w:sz w:val="24"/>
          <w:szCs w:val="24"/>
        </w:rPr>
      </w:pPr>
      <w:r>
        <w:rPr>
          <w:rFonts w:ascii="宋体" w:hAnsi="宋体" w:eastAsia="宋体" w:cs="宋体"/>
          <w:sz w:val="24"/>
          <w:szCs w:val="24"/>
        </w:rPr>
        <w:t>房屋建筑及燃气、热力工程监理服务类招标项目将开展智能辅助评标试点应用。</w:t>
      </w:r>
      <w:r>
        <w:rPr>
          <w:rFonts w:ascii="宋体" w:hAnsi="宋体" w:eastAsia="宋体" w:cs="宋体"/>
          <w:b/>
          <w:bCs/>
          <w:sz w:val="24"/>
          <w:szCs w:val="24"/>
        </w:rPr>
        <w:t>高新分中心</w:t>
      </w:r>
      <w:r>
        <w:rPr>
          <w:rFonts w:ascii="宋体" w:hAnsi="宋体" w:eastAsia="宋体" w:cs="宋体"/>
          <w:sz w:val="24"/>
          <w:szCs w:val="24"/>
        </w:rPr>
        <w:t>作为试点单位，与</w:t>
      </w:r>
      <w:r>
        <w:rPr>
          <w:rFonts w:ascii="宋体" w:hAnsi="宋体" w:eastAsia="宋体" w:cs="宋体"/>
          <w:b/>
          <w:bCs/>
          <w:sz w:val="24"/>
          <w:szCs w:val="24"/>
        </w:rPr>
        <w:t>市本级</w:t>
      </w:r>
      <w:r>
        <w:rPr>
          <w:rFonts w:ascii="宋体" w:hAnsi="宋体" w:eastAsia="宋体" w:cs="宋体"/>
          <w:sz w:val="24"/>
          <w:szCs w:val="24"/>
        </w:rPr>
        <w:t>同步推进该试点。试点期间，交易中心每日将从两地项目中选取 1 个（该项目不采用远程异地评标方式）试行智能辅助评标功能。请点击</w:t>
      </w:r>
      <w:r>
        <w:rPr>
          <w:rFonts w:hint="eastAsia" w:ascii="宋体" w:hAnsi="宋体" w:eastAsia="宋体" w:cs="宋体"/>
          <w:sz w:val="24"/>
          <w:szCs w:val="24"/>
          <w:lang w:eastAsia="zh-CN"/>
        </w:rPr>
        <w:t>顶部导航</w:t>
      </w:r>
      <w:r>
        <w:rPr>
          <w:rFonts w:ascii="宋体" w:hAnsi="宋体" w:eastAsia="宋体" w:cs="宋体"/>
          <w:sz w:val="24"/>
          <w:szCs w:val="24"/>
        </w:rPr>
        <w:t> </w:t>
      </w:r>
      <w:r>
        <w:rPr>
          <w:rFonts w:ascii="宋体" w:hAnsi="宋体" w:eastAsia="宋体" w:cs="宋体"/>
          <w:b/>
          <w:bCs/>
          <w:sz w:val="24"/>
          <w:szCs w:val="24"/>
        </w:rPr>
        <w:t>“信创系统”</w:t>
      </w:r>
      <w:r>
        <w:rPr>
          <w:rFonts w:ascii="宋体" w:hAnsi="宋体" w:eastAsia="宋体" w:cs="宋体"/>
          <w:sz w:val="24"/>
          <w:szCs w:val="24"/>
        </w:rPr>
        <w:t> 进入相关操作页面。</w:t>
      </w:r>
    </w:p>
    <w:p w14:paraId="13E6AFCD">
      <w:pPr>
        <w:numPr>
          <w:ilvl w:val="0"/>
          <w:numId w:val="0"/>
        </w:numPr>
        <w:rPr>
          <w:rFonts w:ascii="宋体" w:hAnsi="宋体" w:eastAsia="宋体" w:cs="宋体"/>
          <w:sz w:val="24"/>
          <w:szCs w:val="24"/>
        </w:rPr>
      </w:pPr>
      <w:r>
        <w:drawing>
          <wp:inline distT="0" distB="0" distL="114300" distR="114300">
            <wp:extent cx="5270500" cy="1077595"/>
            <wp:effectExtent l="0" t="0" r="6350" b="825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7"/>
                    <a:stretch>
                      <a:fillRect/>
                    </a:stretch>
                  </pic:blipFill>
                  <pic:spPr>
                    <a:xfrm>
                      <a:off x="0" y="0"/>
                      <a:ext cx="5270500" cy="1077595"/>
                    </a:xfrm>
                    <a:prstGeom prst="rect">
                      <a:avLst/>
                    </a:prstGeom>
                    <a:noFill/>
                    <a:ln>
                      <a:noFill/>
                    </a:ln>
                  </pic:spPr>
                </pic:pic>
              </a:graphicData>
            </a:graphic>
          </wp:inline>
        </w:drawing>
      </w:r>
    </w:p>
    <w:p w14:paraId="4E044EEF">
      <w:pPr>
        <w:pStyle w:val="2"/>
        <w:bidi w:val="0"/>
        <w:rPr>
          <w:rFonts w:hint="eastAsia" w:ascii="华文仿宋" w:hAnsi="华文仿宋" w:eastAsia="华文仿宋" w:cs="华文仿宋"/>
          <w:lang w:val="en-US" w:eastAsia="zh-CN"/>
        </w:rPr>
      </w:pPr>
      <w:bookmarkStart w:id="2" w:name="_Toc16645"/>
      <w:r>
        <w:rPr>
          <w:rFonts w:hint="eastAsia" w:ascii="华文仿宋" w:hAnsi="华文仿宋" w:eastAsia="华文仿宋" w:cs="华文仿宋"/>
          <w:lang w:val="en-US" w:eastAsia="zh-CN"/>
        </w:rPr>
        <w:t>招标项目信息录入</w:t>
      </w:r>
      <w:bookmarkEnd w:id="2"/>
    </w:p>
    <w:p w14:paraId="7A631242">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点击“新招标项目信息录入”，监管部门选择“住建局”。在其他信息模块行政区划选择【济南市】、【高新区】，项目专业为【监理】项目时，不允许继续录入项目信息。请点击链接跳转到信创系统。</w:t>
      </w:r>
    </w:p>
    <w:p w14:paraId="0DAFD31D">
      <w:pPr>
        <w:rPr>
          <w:rFonts w:hint="eastAsia" w:ascii="宋体" w:hAnsi="宋体" w:eastAsia="宋体" w:cs="宋体"/>
          <w:sz w:val="24"/>
          <w:szCs w:val="24"/>
          <w:lang w:val="en-US" w:eastAsia="zh-CN"/>
        </w:rPr>
      </w:pPr>
      <w:r>
        <w:rPr>
          <w:rFonts w:hint="eastAsia" w:ascii="宋体" w:hAnsi="宋体" w:eastAsia="宋体" w:cs="宋体"/>
          <w:i w:val="0"/>
          <w:iCs w:val="0"/>
          <w:caps w:val="0"/>
          <w:spacing w:val="0"/>
          <w:sz w:val="24"/>
          <w:szCs w:val="24"/>
          <w:shd w:val="clear" w:fill="FFFFFF"/>
        </w:rPr>
        <w:t xml:space="preserve">点击 “新招标项目信息录入” </w:t>
      </w:r>
      <w:r>
        <w:rPr>
          <w:rFonts w:hint="eastAsia" w:ascii="宋体" w:hAnsi="宋体" w:eastAsia="宋体" w:cs="宋体"/>
          <w:i w:val="0"/>
          <w:iCs w:val="0"/>
          <w:caps w:val="0"/>
          <w:spacing w:val="0"/>
          <w:sz w:val="24"/>
          <w:szCs w:val="24"/>
          <w:shd w:val="clear" w:fill="FFFFFF"/>
          <w:lang w:eastAsia="zh-CN"/>
        </w:rPr>
        <w:t>按钮</w:t>
      </w:r>
      <w:r>
        <w:rPr>
          <w:rFonts w:hint="eastAsia" w:ascii="宋体" w:hAnsi="宋体" w:eastAsia="宋体" w:cs="宋体"/>
          <w:i w:val="0"/>
          <w:iCs w:val="0"/>
          <w:caps w:val="0"/>
          <w:spacing w:val="0"/>
          <w:sz w:val="24"/>
          <w:szCs w:val="24"/>
          <w:shd w:val="clear" w:fill="FFFFFF"/>
        </w:rPr>
        <w:t>后，监管部门</w:t>
      </w:r>
      <w:r>
        <w:rPr>
          <w:rFonts w:hint="eastAsia" w:ascii="宋体" w:hAnsi="宋体" w:eastAsia="宋体" w:cs="宋体"/>
          <w:i w:val="0"/>
          <w:iCs w:val="0"/>
          <w:caps w:val="0"/>
          <w:spacing w:val="0"/>
          <w:sz w:val="24"/>
          <w:szCs w:val="24"/>
          <w:shd w:val="clear" w:fill="FFFFFF"/>
          <w:lang w:eastAsia="zh-CN"/>
        </w:rPr>
        <w:t>弹窗中</w:t>
      </w:r>
      <w:r>
        <w:rPr>
          <w:rFonts w:hint="eastAsia" w:ascii="宋体" w:hAnsi="宋体" w:eastAsia="宋体" w:cs="宋体"/>
          <w:i w:val="0"/>
          <w:iCs w:val="0"/>
          <w:caps w:val="0"/>
          <w:spacing w:val="0"/>
          <w:sz w:val="24"/>
          <w:szCs w:val="24"/>
          <w:shd w:val="clear" w:fill="FFFFFF"/>
        </w:rPr>
        <w:t xml:space="preserve">选择 </w:t>
      </w:r>
      <w:r>
        <w:rPr>
          <w:rFonts w:hint="eastAsia" w:ascii="宋体" w:hAnsi="宋体" w:eastAsia="宋体" w:cs="宋体"/>
          <w:i w:val="0"/>
          <w:iCs w:val="0"/>
          <w:caps w:val="0"/>
          <w:spacing w:val="0"/>
          <w:sz w:val="24"/>
          <w:szCs w:val="24"/>
          <w:shd w:val="clear" w:fill="FFFFFF"/>
          <w:lang w:eastAsia="zh-CN"/>
        </w:rPr>
        <w:t>【</w:t>
      </w:r>
      <w:r>
        <w:rPr>
          <w:rFonts w:hint="eastAsia" w:ascii="宋体" w:hAnsi="宋体" w:eastAsia="宋体" w:cs="宋体"/>
          <w:i w:val="0"/>
          <w:iCs w:val="0"/>
          <w:caps w:val="0"/>
          <w:spacing w:val="0"/>
          <w:sz w:val="24"/>
          <w:szCs w:val="24"/>
          <w:shd w:val="clear" w:fill="FFFFFF"/>
        </w:rPr>
        <w:t>住建局</w:t>
      </w:r>
      <w:r>
        <w:rPr>
          <w:rFonts w:hint="eastAsia" w:ascii="宋体" w:hAnsi="宋体" w:eastAsia="宋体" w:cs="宋体"/>
          <w:i w:val="0"/>
          <w:iCs w:val="0"/>
          <w:caps w:val="0"/>
          <w:spacing w:val="0"/>
          <w:sz w:val="24"/>
          <w:szCs w:val="24"/>
          <w:shd w:val="clear" w:fill="FFFFFF"/>
          <w:lang w:eastAsia="zh-CN"/>
        </w:rPr>
        <w:t>】</w:t>
      </w:r>
      <w:r>
        <w:rPr>
          <w:rFonts w:hint="eastAsia" w:ascii="宋体" w:hAnsi="宋体" w:eastAsia="宋体" w:cs="宋体"/>
          <w:i w:val="0"/>
          <w:iCs w:val="0"/>
          <w:caps w:val="0"/>
          <w:spacing w:val="0"/>
          <w:sz w:val="24"/>
          <w:szCs w:val="24"/>
          <w:shd w:val="clear" w:fill="FFFFFF"/>
        </w:rPr>
        <w:t>。若在其他信息模块中行政区划选择【济南市】</w:t>
      </w:r>
      <w:r>
        <w:rPr>
          <w:rFonts w:hint="eastAsia" w:ascii="宋体" w:hAnsi="宋体" w:eastAsia="宋体" w:cs="宋体"/>
          <w:i w:val="0"/>
          <w:iCs w:val="0"/>
          <w:caps w:val="0"/>
          <w:spacing w:val="0"/>
          <w:sz w:val="24"/>
          <w:szCs w:val="24"/>
          <w:shd w:val="clear" w:fill="FFFFFF"/>
          <w:lang w:eastAsia="zh-CN"/>
        </w:rPr>
        <w:t>或</w:t>
      </w:r>
      <w:r>
        <w:rPr>
          <w:rFonts w:hint="eastAsia" w:ascii="宋体" w:hAnsi="宋体" w:eastAsia="宋体" w:cs="宋体"/>
          <w:i w:val="0"/>
          <w:iCs w:val="0"/>
          <w:caps w:val="0"/>
          <w:spacing w:val="0"/>
          <w:sz w:val="24"/>
          <w:szCs w:val="24"/>
          <w:shd w:val="clear" w:fill="FFFFFF"/>
        </w:rPr>
        <w:t>【高新区】，且项目专业为【监理】，则不允许继续录入项目信息。请通过链接跳转到信创系统操作。</w:t>
      </w:r>
    </w:p>
    <w:p w14:paraId="4D738A00">
      <w:r>
        <w:drawing>
          <wp:inline distT="0" distB="0" distL="114300" distR="114300">
            <wp:extent cx="5261610" cy="1456690"/>
            <wp:effectExtent l="0" t="0" r="15240" b="1016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8"/>
                    <a:stretch>
                      <a:fillRect/>
                    </a:stretch>
                  </pic:blipFill>
                  <pic:spPr>
                    <a:xfrm>
                      <a:off x="0" y="0"/>
                      <a:ext cx="5261610" cy="1456690"/>
                    </a:xfrm>
                    <a:prstGeom prst="rect">
                      <a:avLst/>
                    </a:prstGeom>
                    <a:noFill/>
                    <a:ln>
                      <a:noFill/>
                    </a:ln>
                  </pic:spPr>
                </pic:pic>
              </a:graphicData>
            </a:graphic>
          </wp:inline>
        </w:drawing>
      </w:r>
    </w:p>
    <w:p w14:paraId="34823A7A"/>
    <w:p w14:paraId="6A2865A3">
      <w:r>
        <w:drawing>
          <wp:inline distT="0" distB="0" distL="114300" distR="114300">
            <wp:extent cx="4048125" cy="2019300"/>
            <wp:effectExtent l="0" t="0" r="9525" b="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9"/>
                    <a:stretch>
                      <a:fillRect/>
                    </a:stretch>
                  </pic:blipFill>
                  <pic:spPr>
                    <a:xfrm>
                      <a:off x="0" y="0"/>
                      <a:ext cx="4048125" cy="2019300"/>
                    </a:xfrm>
                    <a:prstGeom prst="rect">
                      <a:avLst/>
                    </a:prstGeom>
                    <a:noFill/>
                    <a:ln>
                      <a:noFill/>
                    </a:ln>
                  </pic:spPr>
                </pic:pic>
              </a:graphicData>
            </a:graphic>
          </wp:inline>
        </w:drawing>
      </w:r>
    </w:p>
    <w:p w14:paraId="0F388D65">
      <w:pPr>
        <w:numPr>
          <w:ilvl w:val="0"/>
          <w:numId w:val="0"/>
        </w:numPr>
      </w:pPr>
    </w:p>
    <w:p w14:paraId="5B7FE106">
      <w:pPr>
        <w:numPr>
          <w:ilvl w:val="0"/>
          <w:numId w:val="0"/>
        </w:numPr>
        <w:rPr>
          <w:rFonts w:hint="eastAsia" w:ascii="华文仿宋" w:hAnsi="华文仿宋" w:eastAsia="华文仿宋" w:cs="华文仿宋"/>
          <w:b/>
          <w:sz w:val="52"/>
          <w:szCs w:val="52"/>
        </w:rPr>
      </w:pPr>
      <w:r>
        <w:drawing>
          <wp:inline distT="0" distB="0" distL="114300" distR="114300">
            <wp:extent cx="5263515" cy="2023110"/>
            <wp:effectExtent l="0" t="0" r="13335" b="1524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10"/>
                    <a:stretch>
                      <a:fillRect/>
                    </a:stretch>
                  </pic:blipFill>
                  <pic:spPr>
                    <a:xfrm>
                      <a:off x="0" y="0"/>
                      <a:ext cx="5263515" cy="2023110"/>
                    </a:xfrm>
                    <a:prstGeom prst="rect">
                      <a:avLst/>
                    </a:prstGeom>
                    <a:noFill/>
                    <a:ln>
                      <a:noFill/>
                    </a:ln>
                  </pic:spPr>
                </pic:pic>
              </a:graphicData>
            </a:graphic>
          </wp:inline>
        </w:drawing>
      </w:r>
      <w:r>
        <w:rPr>
          <w:rFonts w:hint="eastAsia" w:ascii="华文仿宋" w:hAnsi="华文仿宋" w:eastAsia="华文仿宋" w:cs="华文仿宋"/>
          <w:b/>
          <w:sz w:val="52"/>
          <w:szCs w:val="52"/>
        </w:rPr>
        <w:br w:type="page"/>
      </w:r>
    </w:p>
    <w:p w14:paraId="6902AE70">
      <w:pPr>
        <w:pStyle w:val="2"/>
        <w:rPr>
          <w:rFonts w:hint="eastAsia" w:ascii="华文仿宋" w:hAnsi="华文仿宋" w:eastAsia="华文仿宋" w:cs="华文仿宋"/>
          <w:b/>
          <w:bCs/>
          <w:kern w:val="2"/>
          <w:sz w:val="32"/>
          <w:szCs w:val="32"/>
          <w:lang w:val="en-US" w:eastAsia="zh-CN" w:bidi="ar-SA"/>
          <w14:ligatures w14:val="none"/>
        </w:rPr>
      </w:pPr>
      <w:bookmarkStart w:id="3" w:name="_Toc48748839"/>
      <w:bookmarkStart w:id="4" w:name="_Toc23683"/>
      <w:r>
        <w:rPr>
          <w:rFonts w:hint="eastAsia" w:ascii="华文仿宋" w:hAnsi="华文仿宋" w:eastAsia="华文仿宋" w:cs="华文仿宋"/>
          <w:b/>
          <w:bCs/>
          <w:kern w:val="2"/>
          <w:sz w:val="32"/>
          <w:szCs w:val="32"/>
          <w:lang w:val="en-US" w:eastAsia="zh-CN" w:bidi="ar-SA"/>
          <w14:ligatures w14:val="none"/>
        </w:rPr>
        <w:t>信创浏览器配置</w:t>
      </w:r>
      <w:bookmarkEnd w:id="3"/>
      <w:bookmarkEnd w:id="4"/>
    </w:p>
    <w:p w14:paraId="3664F99F">
      <w:pPr>
        <w:pStyle w:val="3"/>
        <w:widowControl w:val="0"/>
        <w:numPr>
          <w:ilvl w:val="1"/>
          <w:numId w:val="2"/>
        </w:numPr>
        <w:spacing w:before="156" w:beforeLines="50" w:after="156" w:afterLines="50"/>
        <w:jc w:val="both"/>
        <w:rPr>
          <w:rFonts w:hint="eastAsia" w:ascii="华文仿宋" w:hAnsi="华文仿宋" w:eastAsia="华文仿宋" w:cs="华文仿宋"/>
          <w:sz w:val="32"/>
        </w:rPr>
      </w:pPr>
      <w:bookmarkStart w:id="5" w:name="_Toc23929"/>
      <w:r>
        <w:rPr>
          <w:rFonts w:hint="eastAsia" w:ascii="华文仿宋" w:hAnsi="华文仿宋" w:eastAsia="华文仿宋" w:cs="华文仿宋"/>
          <w:sz w:val="32"/>
          <w:lang w:val="en-US" w:eastAsia="zh-CN"/>
        </w:rPr>
        <w:t>浏览器要求</w:t>
      </w:r>
      <w:bookmarkEnd w:id="5"/>
    </w:p>
    <w:p w14:paraId="39E24992">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为了让系统插件能够正常工作，请使用：Edge浏览器、谷歌浏览器、360浏览器极速模式、搜狗浏览器极速模式。</w:t>
      </w:r>
    </w:p>
    <w:p w14:paraId="29506A7E">
      <w:pPr>
        <w:pStyle w:val="3"/>
        <w:widowControl w:val="0"/>
        <w:numPr>
          <w:ilvl w:val="1"/>
          <w:numId w:val="2"/>
        </w:numPr>
        <w:spacing w:before="156" w:beforeLines="50" w:after="156" w:afterLines="50"/>
        <w:jc w:val="both"/>
        <w:rPr>
          <w:rFonts w:hint="eastAsia" w:ascii="华文仿宋" w:hAnsi="华文仿宋" w:eastAsia="华文仿宋" w:cs="华文仿宋"/>
          <w:sz w:val="32"/>
          <w:lang w:val="en-US" w:eastAsia="zh-CN"/>
        </w:rPr>
      </w:pPr>
      <w:bookmarkStart w:id="6" w:name="_Toc16309"/>
      <w:r>
        <w:rPr>
          <w:rFonts w:hint="eastAsia" w:ascii="华文仿宋" w:hAnsi="华文仿宋" w:eastAsia="华文仿宋" w:cs="华文仿宋"/>
          <w:sz w:val="32"/>
          <w:lang w:val="en-US" w:eastAsia="zh-CN"/>
        </w:rPr>
        <w:t>需安装工具</w:t>
      </w:r>
      <w:bookmarkEnd w:id="6"/>
      <w:r>
        <w:rPr>
          <w:rFonts w:hint="eastAsia" w:ascii="华文仿宋" w:hAnsi="华文仿宋" w:eastAsia="华文仿宋" w:cs="华文仿宋"/>
          <w:sz w:val="32"/>
          <w:lang w:val="en-US" w:eastAsia="zh-CN"/>
        </w:rPr>
        <w:t xml:space="preserve"> </w:t>
      </w:r>
    </w:p>
    <w:p w14:paraId="50755510">
      <w:pPr>
        <w:keepNext w:val="0"/>
        <w:keepLines w:val="0"/>
        <w:widowControl/>
        <w:suppressLineNumbers w:val="0"/>
        <w:jc w:val="left"/>
        <w:rPr>
          <w:rFonts w:hint="eastAsia" w:ascii="华文仿宋" w:hAnsi="华文仿宋" w:eastAsia="华文仿宋" w:cs="华文仿宋"/>
          <w:sz w:val="28"/>
          <w:szCs w:val="28"/>
          <w:lang w:val="en-US" w:eastAsia="zh-CN"/>
        </w:rPr>
      </w:pPr>
      <w:r>
        <w:rPr>
          <w:rFonts w:hint="eastAsia" w:ascii="华文仿宋" w:hAnsi="华文仿宋" w:eastAsia="华文仿宋" w:cs="华文仿宋"/>
          <w:color w:val="000000"/>
          <w:kern w:val="0"/>
          <w:sz w:val="24"/>
          <w:szCs w:val="24"/>
          <w:lang w:val="en-US" w:eastAsia="zh-CN" w:bidi="ar"/>
          <w14:ligatures w14:val="standardContextual"/>
        </w:rPr>
        <w:t xml:space="preserve"> </w:t>
      </w:r>
      <w:r>
        <w:rPr>
          <w:rFonts w:hint="eastAsia" w:ascii="华文仿宋" w:hAnsi="华文仿宋" w:eastAsia="华文仿宋" w:cs="华文仿宋"/>
          <w:sz w:val="28"/>
          <w:szCs w:val="28"/>
          <w:lang w:val="en-US" w:eastAsia="zh-CN"/>
        </w:rPr>
        <w:t>济南信创招投标助手.exe</w:t>
      </w:r>
    </w:p>
    <w:p w14:paraId="60678379">
      <w:pPr>
        <w:keepNext w:val="0"/>
        <w:keepLines w:val="0"/>
        <w:widowControl/>
        <w:suppressLineNumbers w:val="0"/>
        <w:ind w:firstLine="840" w:firstLineChars="300"/>
        <w:jc w:val="left"/>
        <w:rPr>
          <w:rFonts w:hint="eastAsia" w:ascii="华文仿宋" w:hAnsi="华文仿宋" w:eastAsia="华文仿宋" w:cs="华文仿宋"/>
          <w:sz w:val="32"/>
          <w:szCs w:val="32"/>
          <w:lang w:val="en-US" w:eastAsia="zh-CN"/>
        </w:rPr>
      </w:pPr>
      <w:r>
        <w:rPr>
          <w:rFonts w:hint="default" w:ascii="华文仿宋" w:hAnsi="华文仿宋" w:eastAsia="华文仿宋" w:cs="华文仿宋"/>
          <w:sz w:val="28"/>
          <w:szCs w:val="28"/>
          <w:lang w:val="en-US" w:eastAsia="zh-CN"/>
        </w:rPr>
        <w:t>济南公共资源多CA统一认证中间件</w:t>
      </w:r>
    </w:p>
    <w:p w14:paraId="266AAD77">
      <w:pPr>
        <w:pStyle w:val="2"/>
        <w:rPr>
          <w:rFonts w:hint="eastAsia" w:ascii="华文仿宋" w:hAnsi="华文仿宋" w:eastAsia="华文仿宋" w:cs="华文仿宋"/>
          <w:b/>
          <w:bCs/>
          <w:kern w:val="2"/>
          <w:sz w:val="32"/>
          <w:szCs w:val="32"/>
          <w:lang w:val="en-US" w:eastAsia="zh-CN" w:bidi="ar-SA"/>
          <w14:ligatures w14:val="none"/>
        </w:rPr>
      </w:pPr>
      <w:bookmarkStart w:id="7" w:name="_Toc2906"/>
      <w:r>
        <w:rPr>
          <w:rFonts w:hint="eastAsia" w:ascii="华文仿宋" w:hAnsi="华文仿宋" w:eastAsia="华文仿宋" w:cs="华文仿宋"/>
          <w:b/>
          <w:bCs/>
          <w:kern w:val="2"/>
          <w:sz w:val="32"/>
          <w:szCs w:val="32"/>
          <w:lang w:val="en-US" w:eastAsia="zh-CN" w:bidi="ar-SA"/>
          <w14:ligatures w14:val="none"/>
        </w:rPr>
        <w:t>企业登录信创交易平台</w:t>
      </w:r>
      <w:bookmarkEnd w:id="7"/>
    </w:p>
    <w:p w14:paraId="0CAC978B">
      <w:pPr>
        <w:rPr>
          <w:rFonts w:hint="default"/>
          <w:lang w:val="en-US" w:eastAsia="zh-CN"/>
        </w:rPr>
      </w:pPr>
      <w:r>
        <w:rPr>
          <w:rFonts w:hint="eastAsia" w:ascii="华文仿宋" w:hAnsi="华文仿宋" w:eastAsia="华文仿宋" w:cs="华文仿宋"/>
          <w:b/>
          <w:bCs/>
          <w:kern w:val="2"/>
          <w:sz w:val="32"/>
          <w:szCs w:val="32"/>
          <w:lang w:val="en-US" w:eastAsia="zh-CN" w:bidi="ar-SA"/>
          <w14:ligatures w14:val="none"/>
        </w:rPr>
        <w:t>业务流转：项目登记→场地预约→招标公告录入→招标文件提交→招标公告发布。</w:t>
      </w:r>
    </w:p>
    <w:p w14:paraId="0DD32329">
      <w:pPr>
        <w:keepNext w:val="0"/>
        <w:keepLines w:val="0"/>
        <w:pageBreakBefore w:val="0"/>
        <w:widowControl w:val="0"/>
        <w:numPr>
          <w:ilvl w:val="0"/>
          <w:numId w:val="3"/>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eastAsia="zh-CN"/>
        </w:rPr>
      </w:pPr>
      <w:r>
        <w:rPr>
          <w:rFonts w:hint="eastAsia" w:ascii="华文仿宋" w:hAnsi="华文仿宋" w:eastAsia="华文仿宋" w:cs="华文仿宋"/>
          <w:sz w:val="32"/>
          <w:szCs w:val="32"/>
          <w:lang w:val="en-US" w:eastAsia="zh-CN"/>
        </w:rPr>
        <w:t>交易主体可直接使用CA</w:t>
      </w:r>
      <w:r>
        <w:rPr>
          <w:rFonts w:hint="eastAsia" w:ascii="华文仿宋" w:hAnsi="华文仿宋" w:eastAsia="华文仿宋" w:cs="华文仿宋"/>
          <w:sz w:val="32"/>
          <w:szCs w:val="32"/>
        </w:rPr>
        <w:t>进入</w:t>
      </w:r>
      <w:r>
        <w:rPr>
          <w:rFonts w:hint="eastAsia" w:ascii="华文仿宋" w:hAnsi="华文仿宋" w:eastAsia="华文仿宋" w:cs="华文仿宋"/>
          <w:sz w:val="32"/>
          <w:szCs w:val="32"/>
          <w:lang w:val="en-US" w:eastAsia="zh-CN"/>
        </w:rPr>
        <w:t>济南公共资源交易中心</w:t>
      </w:r>
      <w:r>
        <w:rPr>
          <w:rFonts w:hint="eastAsia" w:ascii="华文仿宋" w:hAnsi="华文仿宋" w:eastAsia="华文仿宋" w:cs="华文仿宋"/>
          <w:sz w:val="32"/>
          <w:szCs w:val="32"/>
        </w:rPr>
        <w:t>登录页面，网址：</w:t>
      </w:r>
      <w:r>
        <w:rPr>
          <w:rFonts w:hint="eastAsia" w:ascii="华文仿宋" w:hAnsi="华文仿宋" w:eastAsia="华文仿宋" w:cs="华文仿宋"/>
          <w:sz w:val="32"/>
          <w:szCs w:val="32"/>
        </w:rPr>
        <w:fldChar w:fldCharType="begin"/>
      </w:r>
      <w:r>
        <w:rPr>
          <w:rFonts w:hint="eastAsia" w:ascii="华文仿宋" w:hAnsi="华文仿宋" w:eastAsia="华文仿宋" w:cs="华文仿宋"/>
          <w:sz w:val="32"/>
          <w:szCs w:val="32"/>
        </w:rPr>
        <w:instrText xml:space="preserve"> HYPERLINK "http://60.208.108.150:10081/jyweb/jn-login。" </w:instrText>
      </w:r>
      <w:r>
        <w:rPr>
          <w:rFonts w:hint="eastAsia" w:ascii="华文仿宋" w:hAnsi="华文仿宋" w:eastAsia="华文仿宋" w:cs="华文仿宋"/>
          <w:sz w:val="32"/>
          <w:szCs w:val="32"/>
        </w:rPr>
        <w:fldChar w:fldCharType="separate"/>
      </w:r>
      <w:r>
        <w:rPr>
          <w:rStyle w:val="18"/>
          <w:rFonts w:hint="eastAsia" w:ascii="华文仿宋" w:hAnsi="华文仿宋" w:eastAsia="华文仿宋" w:cs="华文仿宋"/>
          <w:sz w:val="32"/>
          <w:szCs w:val="32"/>
        </w:rPr>
        <w:t>http://60.208.108.150:10081/jyweb/jn-login</w:t>
      </w:r>
      <w:r>
        <w:rPr>
          <w:rStyle w:val="18"/>
          <w:rFonts w:hint="eastAsia" w:ascii="华文仿宋" w:hAnsi="华文仿宋" w:eastAsia="华文仿宋" w:cs="华文仿宋"/>
          <w:sz w:val="32"/>
          <w:szCs w:val="32"/>
          <w:lang w:eastAsia="zh-CN"/>
        </w:rPr>
        <w:t>。</w:t>
      </w:r>
      <w:r>
        <w:rPr>
          <w:rFonts w:hint="eastAsia" w:ascii="华文仿宋" w:hAnsi="华文仿宋" w:eastAsia="华文仿宋" w:cs="华文仿宋"/>
          <w:sz w:val="32"/>
          <w:szCs w:val="32"/>
        </w:rPr>
        <w:fldChar w:fldCharType="end"/>
      </w:r>
    </w:p>
    <w:p w14:paraId="21E9FAC1">
      <w:pPr>
        <w:keepNext w:val="0"/>
        <w:keepLines w:val="0"/>
        <w:pageBreakBefore w:val="0"/>
        <w:widowControl w:val="0"/>
        <w:numPr>
          <w:ilvl w:val="0"/>
          <w:numId w:val="3"/>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交易主体选择“CA登录”、选择“子系统”和“角色”，输入验证码。</w:t>
      </w:r>
    </w:p>
    <w:p w14:paraId="662BFC91">
      <w:pPr>
        <w:rPr>
          <w:rFonts w:hint="eastAsia" w:ascii="华文仿宋" w:hAnsi="华文仿宋" w:eastAsia="华文仿宋" w:cs="华文仿宋"/>
          <w:sz w:val="32"/>
          <w:szCs w:val="32"/>
          <w:lang w:val="en-US" w:eastAsia="zh-CN"/>
        </w:rPr>
      </w:pPr>
      <w:r>
        <w:drawing>
          <wp:inline distT="0" distB="0" distL="114300" distR="114300">
            <wp:extent cx="4636135" cy="2912745"/>
            <wp:effectExtent l="0" t="0" r="12065" b="190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1"/>
                    <a:stretch>
                      <a:fillRect/>
                    </a:stretch>
                  </pic:blipFill>
                  <pic:spPr>
                    <a:xfrm>
                      <a:off x="0" y="0"/>
                      <a:ext cx="4636135" cy="2912745"/>
                    </a:xfrm>
                    <a:prstGeom prst="rect">
                      <a:avLst/>
                    </a:prstGeom>
                    <a:noFill/>
                    <a:ln>
                      <a:noFill/>
                    </a:ln>
                  </pic:spPr>
                </pic:pic>
              </a:graphicData>
            </a:graphic>
          </wp:inline>
        </w:drawing>
      </w:r>
    </w:p>
    <w:p w14:paraId="6A9F2C78">
      <w:pPr>
        <w:keepNext w:val="0"/>
        <w:keepLines w:val="0"/>
        <w:pageBreakBefore w:val="0"/>
        <w:widowControl w:val="0"/>
        <w:numPr>
          <w:ilvl w:val="0"/>
          <w:numId w:val="4"/>
        </w:numPr>
        <w:kinsoku/>
        <w:wordWrap/>
        <w:overflowPunct/>
        <w:topLinePunct w:val="0"/>
        <w:autoSpaceDE/>
        <w:autoSpaceDN/>
        <w:bidi w:val="0"/>
        <w:adjustRightInd/>
        <w:snapToGrid/>
        <w:ind w:left="420" w:leftChars="20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点击“CA登录”入口，核对CA数字证书信息，点击“登录”按钮，确认CA数字证书信息，用户信息正确后，即可登录进入信创交易平台。(</w:t>
      </w:r>
      <w:r>
        <w:rPr>
          <w:rFonts w:hint="eastAsia" w:ascii="华文仿宋" w:hAnsi="华文仿宋" w:eastAsia="华文仿宋" w:cs="华文仿宋"/>
          <w:sz w:val="28"/>
          <w:szCs w:val="28"/>
          <w:lang w:val="en-US" w:eastAsia="zh-CN"/>
        </w:rPr>
        <w:t>CA数字证书登录方式需要用户先绑定CA数字证书，具体绑定请到企业管理中绑定CA数字证书</w:t>
      </w:r>
      <w:r>
        <w:rPr>
          <w:rFonts w:hint="eastAsia" w:ascii="华文仿宋" w:hAnsi="华文仿宋" w:eastAsia="华文仿宋" w:cs="华文仿宋"/>
          <w:sz w:val="32"/>
          <w:szCs w:val="32"/>
          <w:lang w:val="en-US" w:eastAsia="zh-CN"/>
        </w:rPr>
        <w:t>)</w:t>
      </w:r>
    </w:p>
    <w:p w14:paraId="78A687D8">
      <w:pPr>
        <w:pStyle w:val="2"/>
        <w:rPr>
          <w:rFonts w:hint="eastAsia" w:ascii="华文仿宋" w:hAnsi="华文仿宋" w:eastAsia="华文仿宋" w:cs="华文仿宋"/>
          <w:b/>
          <w:bCs/>
          <w:kern w:val="2"/>
          <w:sz w:val="32"/>
          <w:szCs w:val="32"/>
          <w:lang w:val="en-US" w:eastAsia="zh-CN" w:bidi="ar-SA"/>
          <w14:ligatures w14:val="none"/>
        </w:rPr>
      </w:pPr>
      <w:bookmarkStart w:id="8" w:name="_Toc11342"/>
      <w:r>
        <w:rPr>
          <w:rFonts w:hint="eastAsia" w:ascii="华文仿宋" w:hAnsi="华文仿宋" w:eastAsia="华文仿宋" w:cs="华文仿宋"/>
          <w:b/>
          <w:bCs/>
          <w:kern w:val="2"/>
          <w:sz w:val="32"/>
          <w:szCs w:val="32"/>
          <w:lang w:val="en-US" w:eastAsia="zh-CN" w:bidi="ar-SA"/>
          <w14:ligatures w14:val="none"/>
        </w:rPr>
        <w:t>新项目登记</w:t>
      </w:r>
      <w:bookmarkEnd w:id="8"/>
    </w:p>
    <w:p w14:paraId="4C005F3A">
      <w:pPr>
        <w:rPr>
          <w:rFonts w:hint="default"/>
          <w:lang w:val="en-US"/>
        </w:rPr>
      </w:pPr>
      <w:r>
        <w:rPr>
          <w:rFonts w:hint="eastAsia" w:ascii="华文仿宋" w:hAnsi="华文仿宋" w:eastAsia="华文仿宋" w:cs="华文仿宋"/>
          <w:b/>
          <w:bCs/>
          <w:kern w:val="2"/>
          <w:sz w:val="32"/>
          <w:szCs w:val="32"/>
          <w:lang w:val="en-US" w:eastAsia="zh-CN" w:bidi="ar-SA"/>
          <w14:ligatures w14:val="none"/>
        </w:rPr>
        <w:t>业务流转：代理提交项目登记。</w:t>
      </w:r>
    </w:p>
    <w:p w14:paraId="0D6697A2">
      <w:pPr>
        <w:keepNext w:val="0"/>
        <w:keepLines w:val="0"/>
        <w:pageBreakBefore w:val="0"/>
        <w:widowControl w:val="0"/>
        <w:numPr>
          <w:ilvl w:val="0"/>
          <w:numId w:val="5"/>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登录成功后，点击左侧“招标业务”的“招标项目”子菜单，进行新项目录入。</w:t>
      </w:r>
    </w:p>
    <w:p w14:paraId="1875062B">
      <w:pPr>
        <w:ind w:left="0" w:leftChars="0" w:firstLine="0" w:firstLineChars="0"/>
      </w:pPr>
      <w:r>
        <w:drawing>
          <wp:inline distT="0" distB="0" distL="114300" distR="114300">
            <wp:extent cx="5269230" cy="1543685"/>
            <wp:effectExtent l="0" t="0" r="7620" b="1841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2"/>
                    <a:stretch>
                      <a:fillRect/>
                    </a:stretch>
                  </pic:blipFill>
                  <pic:spPr>
                    <a:xfrm>
                      <a:off x="0" y="0"/>
                      <a:ext cx="5269230" cy="1543685"/>
                    </a:xfrm>
                    <a:prstGeom prst="rect">
                      <a:avLst/>
                    </a:prstGeom>
                    <a:noFill/>
                    <a:ln>
                      <a:noFill/>
                    </a:ln>
                  </pic:spPr>
                </pic:pic>
              </a:graphicData>
            </a:graphic>
          </wp:inline>
        </w:drawing>
      </w:r>
    </w:p>
    <w:p w14:paraId="010B5BB3">
      <w:pPr>
        <w:keepNext w:val="0"/>
        <w:keepLines w:val="0"/>
        <w:pageBreakBefore w:val="0"/>
        <w:widowControl w:val="0"/>
        <w:numPr>
          <w:ilvl w:val="0"/>
          <w:numId w:val="5"/>
        </w:numPr>
        <w:kinsoku/>
        <w:wordWrap/>
        <w:overflowPunct/>
        <w:topLinePunct w:val="0"/>
        <w:autoSpaceDE/>
        <w:autoSpaceDN/>
        <w:bidi w:val="0"/>
        <w:adjustRightInd/>
        <w:snapToGrid/>
        <w:textAlignment w:val="auto"/>
      </w:pPr>
      <w:r>
        <w:rPr>
          <w:rFonts w:hint="eastAsia" w:ascii="华文仿宋" w:hAnsi="华文仿宋" w:eastAsia="华文仿宋" w:cs="华文仿宋"/>
          <w:sz w:val="32"/>
          <w:szCs w:val="32"/>
          <w:lang w:val="en-US" w:eastAsia="zh-CN"/>
        </w:rPr>
        <w:t>“招标项目”列表展示已录入项目列表。代理点击“操作”列中的“进入业务”按钮，查看项目每个阶段的进展进度和信息。</w:t>
      </w:r>
    </w:p>
    <w:p w14:paraId="14648544">
      <w:pPr>
        <w:ind w:left="0" w:leftChars="0" w:firstLine="0" w:firstLineChars="0"/>
        <w:rPr>
          <w:rFonts w:hint="eastAsia" w:ascii="华文仿宋" w:hAnsi="华文仿宋" w:eastAsia="华文仿宋" w:cs="华文仿宋"/>
        </w:rPr>
      </w:pPr>
      <w:r>
        <w:drawing>
          <wp:inline distT="0" distB="0" distL="114300" distR="114300">
            <wp:extent cx="5267960" cy="1988820"/>
            <wp:effectExtent l="0" t="0" r="8890" b="1143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13"/>
                    <a:stretch>
                      <a:fillRect/>
                    </a:stretch>
                  </pic:blipFill>
                  <pic:spPr>
                    <a:xfrm>
                      <a:off x="0" y="0"/>
                      <a:ext cx="5267960" cy="1988820"/>
                    </a:xfrm>
                    <a:prstGeom prst="rect">
                      <a:avLst/>
                    </a:prstGeom>
                    <a:noFill/>
                    <a:ln>
                      <a:noFill/>
                    </a:ln>
                  </pic:spPr>
                </pic:pic>
              </a:graphicData>
            </a:graphic>
          </wp:inline>
        </w:drawing>
      </w:r>
    </w:p>
    <w:p w14:paraId="62560AD0">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3、招标代理可点击“新增”按钮，进入“新项目登记”。项目登记分为：招标项目概况、主体单位信息、标段信息、其他手续。</w:t>
      </w:r>
    </w:p>
    <w:p w14:paraId="4EBE4F48">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（1）项目概况：录入项目名称、招标方式、资金来源、项目专业、行政区划、资格审查方式、是否纳入分散等相关信息。</w:t>
      </w:r>
    </w:p>
    <w:p w14:paraId="4E81F850">
      <w:pPr>
        <w:ind w:left="0" w:leftChars="0" w:firstLine="0" w:firstLineChars="0"/>
        <w:rPr>
          <w:rFonts w:hint="eastAsia" w:ascii="华文仿宋" w:hAnsi="华文仿宋" w:eastAsia="华文仿宋" w:cs="华文仿宋"/>
        </w:rPr>
      </w:pPr>
      <w:r>
        <w:drawing>
          <wp:inline distT="0" distB="0" distL="114300" distR="114300">
            <wp:extent cx="5259705" cy="2464435"/>
            <wp:effectExtent l="0" t="0" r="17145" b="1206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14"/>
                    <a:stretch>
                      <a:fillRect/>
                    </a:stretch>
                  </pic:blipFill>
                  <pic:spPr>
                    <a:xfrm>
                      <a:off x="0" y="0"/>
                      <a:ext cx="5259705" cy="2464435"/>
                    </a:xfrm>
                    <a:prstGeom prst="rect">
                      <a:avLst/>
                    </a:prstGeom>
                    <a:noFill/>
                    <a:ln>
                      <a:noFill/>
                    </a:ln>
                  </pic:spPr>
                </pic:pic>
              </a:graphicData>
            </a:graphic>
          </wp:inline>
        </w:drawing>
      </w:r>
    </w:p>
    <w:p w14:paraId="543791D0">
      <w:pPr>
        <w:ind w:left="0" w:leftChars="0" w:firstLine="0" w:firstLineChars="0"/>
        <w:rPr>
          <w:rFonts w:hint="eastAsia" w:ascii="华文仿宋" w:hAnsi="华文仿宋" w:eastAsia="华文仿宋" w:cs="华文仿宋"/>
          <w:color w:val="FF0000"/>
          <w:sz w:val="24"/>
          <w:szCs w:val="32"/>
          <w:lang w:val="en-US" w:eastAsia="zh-CN"/>
        </w:rPr>
      </w:pPr>
      <w:r>
        <w:rPr>
          <w:rFonts w:hint="eastAsia" w:ascii="华文仿宋" w:hAnsi="华文仿宋" w:eastAsia="华文仿宋" w:cs="华文仿宋"/>
          <w:color w:val="FF0000"/>
          <w:sz w:val="24"/>
          <w:szCs w:val="32"/>
          <w:lang w:val="en-US" w:eastAsia="zh-CN"/>
        </w:rPr>
        <w:t>*项目编号：系统根据统一规则生成，无需填写。</w:t>
      </w:r>
    </w:p>
    <w:p w14:paraId="04C4BEF9">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（2）主体单位信息：录入招标的招标单位和建设单位和代建单位的相关信息。</w:t>
      </w:r>
    </w:p>
    <w:p w14:paraId="728EA40A">
      <w:pPr>
        <w:ind w:left="0" w:leftChars="0" w:firstLine="0" w:firstLineChars="0"/>
        <w:rPr>
          <w:rFonts w:hint="eastAsia" w:ascii="华文仿宋" w:hAnsi="华文仿宋" w:eastAsia="华文仿宋" w:cs="华文仿宋"/>
        </w:rPr>
      </w:pPr>
      <w:r>
        <w:drawing>
          <wp:inline distT="0" distB="0" distL="114300" distR="114300">
            <wp:extent cx="5262245" cy="2289810"/>
            <wp:effectExtent l="0" t="0" r="14605" b="1524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5"/>
                    <a:stretch>
                      <a:fillRect/>
                    </a:stretch>
                  </pic:blipFill>
                  <pic:spPr>
                    <a:xfrm>
                      <a:off x="0" y="0"/>
                      <a:ext cx="5262245" cy="2289810"/>
                    </a:xfrm>
                    <a:prstGeom prst="rect">
                      <a:avLst/>
                    </a:prstGeom>
                    <a:noFill/>
                    <a:ln>
                      <a:noFill/>
                    </a:ln>
                  </pic:spPr>
                </pic:pic>
              </a:graphicData>
            </a:graphic>
          </wp:inline>
        </w:drawing>
      </w:r>
    </w:p>
    <w:p w14:paraId="4DF488B1">
      <w:pPr>
        <w:rPr>
          <w:rFonts w:hint="eastAsia" w:ascii="华文仿宋" w:hAnsi="华文仿宋" w:eastAsia="华文仿宋" w:cs="华文仿宋"/>
          <w:lang w:val="en-US"/>
        </w:rPr>
      </w:pPr>
      <w:r>
        <w:rPr>
          <w:rFonts w:hint="eastAsia" w:ascii="华文仿宋" w:hAnsi="华文仿宋" w:eastAsia="华文仿宋" w:cs="华文仿宋"/>
          <w:sz w:val="32"/>
          <w:szCs w:val="32"/>
          <w:lang w:val="en-US" w:eastAsia="zh-CN"/>
        </w:rPr>
        <w:t>注：点击招标单位的“新增”按钮，在弹出页面中，选择“主要单位”，在单位名称列表输入“名称关键字”可直接提取单位的相关信息。</w:t>
      </w:r>
    </w:p>
    <w:p w14:paraId="1D264E4D">
      <w:pPr>
        <w:ind w:left="0" w:leftChars="0" w:firstLine="0" w:firstLineChars="0"/>
        <w:rPr>
          <w:rFonts w:hint="eastAsia" w:ascii="华文仿宋" w:hAnsi="华文仿宋" w:eastAsia="华文仿宋" w:cs="华文仿宋"/>
          <w:sz w:val="32"/>
          <w:szCs w:val="32"/>
          <w:lang w:val="en-US" w:eastAsia="zh-CN"/>
        </w:rPr>
      </w:pPr>
      <w:r>
        <w:drawing>
          <wp:inline distT="0" distB="0" distL="114300" distR="114300">
            <wp:extent cx="5263515" cy="2160270"/>
            <wp:effectExtent l="0" t="0" r="13335" b="1143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16"/>
                    <a:stretch>
                      <a:fillRect/>
                    </a:stretch>
                  </pic:blipFill>
                  <pic:spPr>
                    <a:xfrm>
                      <a:off x="0" y="0"/>
                      <a:ext cx="5263515" cy="2160270"/>
                    </a:xfrm>
                    <a:prstGeom prst="rect">
                      <a:avLst/>
                    </a:prstGeom>
                    <a:noFill/>
                    <a:ln>
                      <a:noFill/>
                    </a:ln>
                  </pic:spPr>
                </pic:pic>
              </a:graphicData>
            </a:graphic>
          </wp:inline>
        </w:drawing>
      </w:r>
    </w:p>
    <w:p w14:paraId="24DE87DD">
      <w:pPr>
        <w:keepNext w:val="0"/>
        <w:keepLines w:val="0"/>
        <w:pageBreakBefore w:val="0"/>
        <w:widowControl w:val="0"/>
        <w:numPr>
          <w:ilvl w:val="0"/>
          <w:numId w:val="6"/>
        </w:numPr>
        <w:kinsoku/>
        <w:wordWrap/>
        <w:overflowPunct/>
        <w:topLinePunct w:val="0"/>
        <w:autoSpaceDE/>
        <w:autoSpaceDN/>
        <w:bidi w:val="0"/>
        <w:adjustRightInd/>
        <w:snapToGrid/>
        <w:ind w:left="-10" w:leftChars="0" w:firstLine="640" w:firstLineChars="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标段信息：点击“新增”按钮，录入项目标段情况。</w:t>
      </w:r>
    </w:p>
    <w:p w14:paraId="391E2C66">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71770" cy="1849755"/>
            <wp:effectExtent l="0" t="0" r="5080" b="1714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17"/>
                    <a:stretch>
                      <a:fillRect/>
                    </a:stretch>
                  </pic:blipFill>
                  <pic:spPr>
                    <a:xfrm>
                      <a:off x="0" y="0"/>
                      <a:ext cx="5271770" cy="1849755"/>
                    </a:xfrm>
                    <a:prstGeom prst="rect">
                      <a:avLst/>
                    </a:prstGeom>
                    <a:noFill/>
                    <a:ln>
                      <a:noFill/>
                    </a:ln>
                  </pic:spPr>
                </pic:pic>
              </a:graphicData>
            </a:graphic>
          </wp:inline>
        </w:drawing>
      </w:r>
    </w:p>
    <w:p w14:paraId="18001ECF">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新增标段信息页面，录入标段（分包）名称、报价方式、标段（分包）内容、规模、专业类别等内容。</w:t>
      </w:r>
    </w:p>
    <w:p w14:paraId="2542CF11">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73040" cy="2788920"/>
            <wp:effectExtent l="0" t="0" r="3810" b="1143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8"/>
                    <a:stretch>
                      <a:fillRect/>
                    </a:stretch>
                  </pic:blipFill>
                  <pic:spPr>
                    <a:xfrm>
                      <a:off x="0" y="0"/>
                      <a:ext cx="5273040" cy="2788920"/>
                    </a:xfrm>
                    <a:prstGeom prst="rect">
                      <a:avLst/>
                    </a:prstGeom>
                    <a:noFill/>
                    <a:ln>
                      <a:noFill/>
                    </a:ln>
                  </pic:spPr>
                </pic:pic>
              </a:graphicData>
            </a:graphic>
          </wp:inline>
        </w:drawing>
      </w:r>
    </w:p>
    <w:p w14:paraId="6DC09777">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32"/>
          <w:szCs w:val="32"/>
          <w:lang w:val="en-US" w:eastAsia="zh-CN"/>
        </w:rPr>
        <w:t>（5）其他手续：选择是否采用告知承诺制、查看承诺书并签章、上传计划批文、图审材料、代理合同等内容。</w:t>
      </w:r>
    </w:p>
    <w:p w14:paraId="55600944">
      <w:pPr>
        <w:ind w:left="0" w:leftChars="0" w:firstLine="0" w:firstLineChars="0"/>
      </w:pPr>
      <w:r>
        <w:drawing>
          <wp:inline distT="0" distB="0" distL="114300" distR="114300">
            <wp:extent cx="5263515" cy="2360930"/>
            <wp:effectExtent l="0" t="0" r="13335" b="127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9"/>
                    <a:stretch>
                      <a:fillRect/>
                    </a:stretch>
                  </pic:blipFill>
                  <pic:spPr>
                    <a:xfrm>
                      <a:off x="0" y="0"/>
                      <a:ext cx="5263515" cy="2360930"/>
                    </a:xfrm>
                    <a:prstGeom prst="rect">
                      <a:avLst/>
                    </a:prstGeom>
                    <a:noFill/>
                    <a:ln>
                      <a:noFill/>
                    </a:ln>
                  </pic:spPr>
                </pic:pic>
              </a:graphicData>
            </a:graphic>
          </wp:inline>
        </w:drawing>
      </w:r>
    </w:p>
    <w:p w14:paraId="1C43509B">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济南市房屋建筑及市政工程招标信息录入风险承诺书签章：</w:t>
      </w:r>
    </w:p>
    <w:p w14:paraId="449187D4">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点击页面中的“签章”按钮</w:t>
      </w:r>
    </w:p>
    <w:p w14:paraId="2CDE49C0">
      <w:pPr>
        <w:ind w:left="0" w:leftChars="0" w:firstLine="0" w:firstLineChars="0"/>
      </w:pPr>
      <w:r>
        <w:drawing>
          <wp:inline distT="0" distB="0" distL="114300" distR="114300">
            <wp:extent cx="5262880" cy="559435"/>
            <wp:effectExtent l="0" t="0" r="13970" b="12065"/>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20"/>
                    <a:stretch>
                      <a:fillRect/>
                    </a:stretch>
                  </pic:blipFill>
                  <pic:spPr>
                    <a:xfrm>
                      <a:off x="0" y="0"/>
                      <a:ext cx="5262880" cy="559435"/>
                    </a:xfrm>
                    <a:prstGeom prst="rect">
                      <a:avLst/>
                    </a:prstGeom>
                    <a:noFill/>
                    <a:ln>
                      <a:noFill/>
                    </a:ln>
                  </pic:spPr>
                </pic:pic>
              </a:graphicData>
            </a:graphic>
          </wp:inline>
        </w:drawing>
      </w:r>
    </w:p>
    <w:p w14:paraId="7E73FE23">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点击页面右上角的“签章”按钮，对承诺书进行签章，签章完成后点击“提交”</w:t>
      </w:r>
    </w:p>
    <w:p w14:paraId="73BA22DF">
      <w:pPr>
        <w:ind w:left="0" w:leftChars="0" w:firstLine="0" w:firstLineChars="0"/>
        <w:rPr>
          <w:rFonts w:hint="eastAsia"/>
          <w:lang w:eastAsia="zh-CN"/>
        </w:rPr>
      </w:pPr>
      <w:r>
        <w:drawing>
          <wp:inline distT="0" distB="0" distL="114300" distR="114300">
            <wp:extent cx="5264150" cy="2783205"/>
            <wp:effectExtent l="0" t="0" r="12700" b="17145"/>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pic:cNvPicPr>
                  </pic:nvPicPr>
                  <pic:blipFill>
                    <a:blip r:embed="rId21"/>
                    <a:stretch>
                      <a:fillRect/>
                    </a:stretch>
                  </pic:blipFill>
                  <pic:spPr>
                    <a:xfrm>
                      <a:off x="0" y="0"/>
                      <a:ext cx="5264150" cy="2783205"/>
                    </a:xfrm>
                    <a:prstGeom prst="rect">
                      <a:avLst/>
                    </a:prstGeom>
                    <a:noFill/>
                    <a:ln>
                      <a:noFill/>
                    </a:ln>
                  </pic:spPr>
                </pic:pic>
              </a:graphicData>
            </a:graphic>
          </wp:inline>
        </w:drawing>
      </w:r>
    </w:p>
    <w:p w14:paraId="34B46FD8">
      <w:pPr>
        <w:ind w:left="0" w:leftChars="0" w:firstLine="0" w:firstLineChars="0"/>
        <w:rPr>
          <w:rFonts w:hint="eastAsia"/>
        </w:rPr>
      </w:pPr>
    </w:p>
    <w:p w14:paraId="76A871CF">
      <w:pPr>
        <w:keepNext w:val="0"/>
        <w:keepLines w:val="0"/>
        <w:pageBreakBefore w:val="0"/>
        <w:widowControl w:val="0"/>
        <w:numPr>
          <w:ilvl w:val="0"/>
          <w:numId w:val="6"/>
        </w:numPr>
        <w:kinsoku/>
        <w:wordWrap/>
        <w:overflowPunct/>
        <w:topLinePunct w:val="0"/>
        <w:autoSpaceDE/>
        <w:autoSpaceDN/>
        <w:bidi w:val="0"/>
        <w:adjustRightInd/>
        <w:snapToGrid/>
        <w:ind w:left="-10" w:leftChars="0" w:firstLine="640" w:firstLineChars="0"/>
        <w:textAlignment w:val="auto"/>
        <w:rPr>
          <w:rFonts w:hint="default"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填写完整项目登记信息后，请等待招标人对承诺书签章。招标人签章后，招标代理点击“提交”按钮，提交项目登记信息。</w:t>
      </w:r>
    </w:p>
    <w:p w14:paraId="2CF7130C">
      <w:pPr>
        <w:pStyle w:val="2"/>
        <w:rPr>
          <w:rFonts w:hint="eastAsia" w:ascii="华文仿宋" w:hAnsi="华文仿宋" w:eastAsia="华文仿宋" w:cs="华文仿宋"/>
          <w:b/>
          <w:bCs/>
          <w:kern w:val="2"/>
          <w:sz w:val="32"/>
          <w:szCs w:val="32"/>
          <w:lang w:val="en-US" w:eastAsia="zh-CN" w:bidi="ar-SA"/>
          <w14:ligatures w14:val="none"/>
        </w:rPr>
      </w:pPr>
      <w:bookmarkStart w:id="9" w:name="_Toc27899"/>
      <w:r>
        <w:rPr>
          <w:rFonts w:hint="eastAsia" w:ascii="华文仿宋" w:hAnsi="华文仿宋" w:eastAsia="华文仿宋" w:cs="华文仿宋"/>
          <w:b/>
          <w:bCs/>
          <w:kern w:val="2"/>
          <w:sz w:val="32"/>
          <w:szCs w:val="32"/>
          <w:lang w:val="en-US" w:eastAsia="zh-CN" w:bidi="ar-SA"/>
          <w14:ligatures w14:val="none"/>
        </w:rPr>
        <w:t>场地预约</w:t>
      </w:r>
      <w:bookmarkEnd w:id="9"/>
    </w:p>
    <w:p w14:paraId="6C68CB23">
      <w:pPr>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提交完毕项目登记信息的项目通过场地预约功能预约项目开标、评标场地。</w:t>
      </w:r>
    </w:p>
    <w:p w14:paraId="534960B1">
      <w:pPr>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（1）点击“场地预约”节点，进入场地预约页面。</w:t>
      </w:r>
    </w:p>
    <w:p w14:paraId="5F76ABAD">
      <w:pPr>
        <w:pStyle w:val="22"/>
        <w:pageBreakBefore w:val="0"/>
        <w:widowControl w:val="0"/>
        <w:kinsoku/>
        <w:wordWrap/>
        <w:overflowPunct/>
        <w:autoSpaceDE/>
        <w:autoSpaceDN/>
        <w:bidi w:val="0"/>
        <w:adjustRightInd/>
        <w:snapToGrid/>
        <w:spacing w:before="156" w:after="156"/>
        <w:rPr>
          <w:sz w:val="21"/>
          <w:szCs w:val="21"/>
        </w:rPr>
      </w:pPr>
      <w:r>
        <w:drawing>
          <wp:inline distT="0" distB="0" distL="114300" distR="114300">
            <wp:extent cx="5262245" cy="2329815"/>
            <wp:effectExtent l="0" t="0" r="14605" b="1333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2"/>
                    <a:stretch>
                      <a:fillRect/>
                    </a:stretch>
                  </pic:blipFill>
                  <pic:spPr>
                    <a:xfrm>
                      <a:off x="0" y="0"/>
                      <a:ext cx="5262245" cy="2329815"/>
                    </a:xfrm>
                    <a:prstGeom prst="rect">
                      <a:avLst/>
                    </a:prstGeom>
                    <a:noFill/>
                    <a:ln>
                      <a:noFill/>
                    </a:ln>
                  </pic:spPr>
                </pic:pic>
              </a:graphicData>
            </a:graphic>
          </wp:inline>
        </w:drawing>
      </w:r>
    </w:p>
    <w:p w14:paraId="58807AFA">
      <w:r>
        <w:rPr>
          <w:rFonts w:hint="eastAsia" w:ascii="华文仿宋" w:hAnsi="华文仿宋" w:eastAsia="华文仿宋" w:cs="华文仿宋"/>
          <w:kern w:val="2"/>
          <w:sz w:val="28"/>
          <w:szCs w:val="28"/>
          <w:lang w:val="en-US" w:eastAsia="zh-CN" w:bidi="ar-SA"/>
          <w14:ligatures w14:val="standardContextual"/>
        </w:rPr>
        <w:t>（2）选择要预约的标段以及填写预约时间、专家人数、是否就近评标等信息。</w:t>
      </w:r>
    </w:p>
    <w:p w14:paraId="13B82A95">
      <w:r>
        <w:rPr>
          <w:rFonts w:hint="eastAsia" w:ascii="华文仿宋" w:hAnsi="华文仿宋" w:eastAsia="华文仿宋" w:cs="华文仿宋"/>
          <w:kern w:val="2"/>
          <w:sz w:val="28"/>
          <w:szCs w:val="28"/>
          <w:lang w:val="en-US" w:eastAsia="zh-CN" w:bidi="ar-SA"/>
          <w14:ligatures w14:val="standardContextual"/>
        </w:rPr>
        <w:t>（3）点击“预约”按钮，提交场地预约信息。</w:t>
      </w:r>
    </w:p>
    <w:p w14:paraId="4AAF31CC">
      <w:pPr>
        <w:pageBreakBefore w:val="0"/>
        <w:widowControl w:val="0"/>
        <w:numPr>
          <w:ilvl w:val="0"/>
          <w:numId w:val="7"/>
        </w:numPr>
        <w:kinsoku/>
        <w:wordWrap/>
        <w:overflowPunct/>
        <w:autoSpaceDE/>
        <w:autoSpaceDN/>
        <w:bidi w:val="0"/>
        <w:adjustRightInd/>
        <w:snapToGrid/>
        <w:ind w:left="420" w:leftChars="0" w:hanging="420" w:firstLineChars="0"/>
        <w:rPr>
          <w:b/>
          <w:sz w:val="21"/>
          <w:szCs w:val="21"/>
        </w:rPr>
      </w:pPr>
      <w:r>
        <w:rPr>
          <w:rFonts w:hint="eastAsia"/>
          <w:b/>
          <w:sz w:val="21"/>
          <w:szCs w:val="21"/>
        </w:rPr>
        <w:t>场地预约信息介绍</w:t>
      </w:r>
    </w:p>
    <w:p w14:paraId="72E4314B">
      <w:pPr>
        <w:pStyle w:val="20"/>
        <w:pageBreakBefore w:val="0"/>
        <w:widowControl w:val="0"/>
        <w:kinsoku/>
        <w:wordWrap/>
        <w:overflowPunct/>
        <w:autoSpaceDE/>
        <w:autoSpaceDN/>
        <w:bidi w:val="0"/>
        <w:adjustRightInd/>
        <w:snapToGrid/>
        <w:ind w:firstLine="361"/>
        <w:rPr>
          <w:sz w:val="21"/>
          <w:szCs w:val="21"/>
        </w:rPr>
      </w:pPr>
      <w:r>
        <w:rPr>
          <w:rFonts w:hint="eastAsia"/>
          <w:sz w:val="21"/>
          <w:szCs w:val="21"/>
          <w:lang w:val="en-US" w:eastAsia="zh-CN"/>
        </w:rPr>
        <w:t>标段（分包）</w:t>
      </w:r>
      <w:r>
        <w:rPr>
          <w:rFonts w:hint="eastAsia"/>
          <w:sz w:val="21"/>
          <w:szCs w:val="21"/>
        </w:rPr>
        <w:t>名称：当前需要预约场地的项目名称。系统自动获取。</w:t>
      </w:r>
    </w:p>
    <w:p w14:paraId="20CA9DEC">
      <w:pPr>
        <w:pStyle w:val="20"/>
        <w:pageBreakBefore w:val="0"/>
        <w:widowControl w:val="0"/>
        <w:kinsoku/>
        <w:wordWrap/>
        <w:overflowPunct/>
        <w:autoSpaceDE/>
        <w:autoSpaceDN/>
        <w:bidi w:val="0"/>
        <w:adjustRightInd/>
        <w:snapToGrid/>
        <w:ind w:firstLine="361"/>
        <w:rPr>
          <w:rFonts w:hint="eastAsia"/>
          <w:sz w:val="21"/>
          <w:szCs w:val="21"/>
          <w:lang w:eastAsia="zh-CN"/>
        </w:rPr>
      </w:pPr>
      <w:r>
        <w:rPr>
          <w:rFonts w:hint="eastAsia"/>
          <w:sz w:val="21"/>
          <w:szCs w:val="21"/>
        </w:rPr>
        <w:t>开标场地：项目开标室场地。</w:t>
      </w:r>
    </w:p>
    <w:p w14:paraId="6F6EE2BE">
      <w:pPr>
        <w:pStyle w:val="20"/>
        <w:pageBreakBefore w:val="0"/>
        <w:widowControl w:val="0"/>
        <w:kinsoku/>
        <w:wordWrap/>
        <w:overflowPunct/>
        <w:autoSpaceDE/>
        <w:autoSpaceDN/>
        <w:bidi w:val="0"/>
        <w:adjustRightInd/>
        <w:snapToGrid/>
        <w:ind w:firstLine="361"/>
        <w:rPr>
          <w:rFonts w:hint="eastAsia"/>
          <w:sz w:val="21"/>
          <w:szCs w:val="21"/>
          <w:lang w:eastAsia="zh-CN"/>
        </w:rPr>
      </w:pPr>
      <w:r>
        <w:drawing>
          <wp:inline distT="0" distB="0" distL="114300" distR="114300">
            <wp:extent cx="5259070" cy="2234565"/>
            <wp:effectExtent l="0" t="0" r="17780" b="1333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23"/>
                    <a:stretch>
                      <a:fillRect/>
                    </a:stretch>
                  </pic:blipFill>
                  <pic:spPr>
                    <a:xfrm>
                      <a:off x="0" y="0"/>
                      <a:ext cx="5259070" cy="2234565"/>
                    </a:xfrm>
                    <a:prstGeom prst="rect">
                      <a:avLst/>
                    </a:prstGeom>
                    <a:noFill/>
                    <a:ln>
                      <a:noFill/>
                    </a:ln>
                  </pic:spPr>
                </pic:pic>
              </a:graphicData>
            </a:graphic>
          </wp:inline>
        </w:drawing>
      </w:r>
    </w:p>
    <w:p w14:paraId="7D83BAFD">
      <w:pPr>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kern w:val="2"/>
          <w:sz w:val="28"/>
          <w:szCs w:val="28"/>
          <w:lang w:val="en-US" w:eastAsia="zh-CN" w:bidi="ar-SA"/>
          <w14:ligatures w14:val="standardContextual"/>
        </w:rPr>
        <w:t>招标代理在发布公告前，可以点击“取消预约”按钮，撤销场地信息重新预约。</w:t>
      </w:r>
    </w:p>
    <w:p w14:paraId="6B35DDEC">
      <w:pPr>
        <w:pStyle w:val="2"/>
        <w:rPr>
          <w:rFonts w:hint="eastAsia" w:ascii="华文仿宋" w:hAnsi="华文仿宋" w:eastAsia="华文仿宋" w:cs="华文仿宋"/>
          <w:b/>
          <w:bCs/>
          <w:kern w:val="2"/>
          <w:sz w:val="32"/>
          <w:szCs w:val="32"/>
          <w:lang w:val="en-US" w:eastAsia="zh-CN" w:bidi="ar-SA"/>
          <w14:ligatures w14:val="none"/>
        </w:rPr>
      </w:pPr>
      <w:bookmarkStart w:id="10" w:name="_Toc29382"/>
      <w:r>
        <w:rPr>
          <w:rFonts w:hint="eastAsia" w:ascii="华文仿宋" w:hAnsi="华文仿宋" w:eastAsia="华文仿宋" w:cs="华文仿宋"/>
          <w:b/>
          <w:bCs/>
          <w:kern w:val="2"/>
          <w:sz w:val="32"/>
          <w:szCs w:val="32"/>
          <w:lang w:val="en-US" w:eastAsia="zh-CN" w:bidi="ar-SA"/>
          <w14:ligatures w14:val="none"/>
        </w:rPr>
        <w:t>招标公告</w:t>
      </w:r>
      <w:bookmarkEnd w:id="10"/>
    </w:p>
    <w:p w14:paraId="6A06E3A0">
      <w:pPr>
        <w:pStyle w:val="3"/>
        <w:numPr>
          <w:ilvl w:val="1"/>
          <w:numId w:val="0"/>
        </w:numPr>
        <w:bidi w:val="0"/>
        <w:ind w:left="-141" w:leftChars="0"/>
        <w:rPr>
          <w:rFonts w:hint="eastAsia" w:ascii="华文仿宋" w:hAnsi="华文仿宋" w:eastAsia="华文仿宋" w:cs="华文仿宋"/>
        </w:rPr>
      </w:pPr>
      <w:bookmarkStart w:id="11" w:name="_Toc12958"/>
      <w:r>
        <w:rPr>
          <w:rFonts w:hint="eastAsia" w:ascii="华文仿宋" w:hAnsi="华文仿宋" w:eastAsia="华文仿宋" w:cs="华文仿宋"/>
          <w:lang w:val="en-US" w:eastAsia="zh-CN"/>
        </w:rPr>
        <w:t>（一）</w:t>
      </w:r>
      <w:r>
        <w:rPr>
          <w:rFonts w:hint="eastAsia" w:ascii="华文仿宋" w:hAnsi="华文仿宋" w:eastAsia="华文仿宋" w:cs="华文仿宋"/>
        </w:rPr>
        <w:t>功能介绍</w:t>
      </w:r>
      <w:bookmarkEnd w:id="11"/>
    </w:p>
    <w:p w14:paraId="6FC8E342">
      <w:pPr>
        <w:pageBreakBefore w:val="0"/>
        <w:widowControl w:val="0"/>
        <w:kinsoku/>
        <w:wordWrap/>
        <w:overflowPunct/>
        <w:autoSpaceDE/>
        <w:autoSpaceDN/>
        <w:bidi w:val="0"/>
        <w:adjustRightInd/>
        <w:snapToGrid/>
        <w:ind w:firstLine="420"/>
        <w:rPr>
          <w:sz w:val="28"/>
          <w:szCs w:val="28"/>
        </w:rPr>
      </w:pPr>
      <w:r>
        <w:rPr>
          <w:rFonts w:hint="eastAsia" w:ascii="华文仿宋" w:hAnsi="华文仿宋" w:eastAsia="华文仿宋" w:cs="华文仿宋"/>
          <w:kern w:val="2"/>
          <w:sz w:val="28"/>
          <w:szCs w:val="28"/>
          <w:lang w:val="en-US" w:eastAsia="zh-CN" w:bidi="ar-SA"/>
          <w14:ligatures w14:val="standardContextual"/>
        </w:rPr>
        <w:t>招标代理通过招标公告流程编制发布项目招标公告。</w:t>
      </w:r>
      <w:bookmarkStart w:id="12" w:name="_bookmark21"/>
      <w:bookmarkEnd w:id="12"/>
      <w:bookmarkStart w:id="13" w:name="_bookmark19"/>
      <w:bookmarkEnd w:id="13"/>
      <w:bookmarkStart w:id="14" w:name="_bookmark20"/>
      <w:bookmarkEnd w:id="14"/>
    </w:p>
    <w:p w14:paraId="7C2A482A">
      <w:pPr>
        <w:pStyle w:val="3"/>
        <w:numPr>
          <w:ilvl w:val="1"/>
          <w:numId w:val="0"/>
        </w:numPr>
        <w:bidi w:val="0"/>
        <w:ind w:left="-141" w:leftChars="0"/>
        <w:rPr>
          <w:rFonts w:hint="eastAsia" w:ascii="华文仿宋" w:hAnsi="华文仿宋" w:eastAsia="华文仿宋" w:cs="华文仿宋"/>
          <w:lang w:val="en-US" w:eastAsia="zh-CN"/>
        </w:rPr>
      </w:pPr>
      <w:bookmarkStart w:id="15" w:name="_Toc17757"/>
      <w:r>
        <w:rPr>
          <w:rFonts w:hint="eastAsia" w:ascii="华文仿宋" w:hAnsi="华文仿宋" w:eastAsia="华文仿宋" w:cs="华文仿宋"/>
          <w:lang w:val="en-US" w:eastAsia="zh-CN"/>
        </w:rPr>
        <w:t>（二）具体操作</w:t>
      </w:r>
      <w:bookmarkEnd w:id="15"/>
    </w:p>
    <w:p w14:paraId="193F2F83">
      <w:pPr>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1、点击“招标公告”节点，进入招标公告页面。选择需要发布招标公告的项目，进入编制招标公告界面。</w:t>
      </w:r>
    </w:p>
    <w:p w14:paraId="6AEFCB20">
      <w:pPr>
        <w:pStyle w:val="22"/>
        <w:pageBreakBefore w:val="0"/>
        <w:widowControl w:val="0"/>
        <w:kinsoku/>
        <w:wordWrap/>
        <w:overflowPunct/>
        <w:autoSpaceDE/>
        <w:autoSpaceDN/>
        <w:bidi w:val="0"/>
        <w:adjustRightInd/>
        <w:snapToGrid/>
        <w:spacing w:before="156" w:after="156"/>
        <w:jc w:val="both"/>
      </w:pPr>
      <w:r>
        <w:drawing>
          <wp:inline distT="0" distB="0" distL="114300" distR="114300">
            <wp:extent cx="5273040" cy="2433955"/>
            <wp:effectExtent l="0" t="0" r="3810" b="444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4"/>
                    <a:stretch>
                      <a:fillRect/>
                    </a:stretch>
                  </pic:blipFill>
                  <pic:spPr>
                    <a:xfrm>
                      <a:off x="0" y="0"/>
                      <a:ext cx="5273040" cy="2433955"/>
                    </a:xfrm>
                    <a:prstGeom prst="rect">
                      <a:avLst/>
                    </a:prstGeom>
                    <a:noFill/>
                    <a:ln>
                      <a:noFill/>
                    </a:ln>
                  </pic:spPr>
                </pic:pic>
              </a:graphicData>
            </a:graphic>
          </wp:inline>
        </w:drawing>
      </w:r>
    </w:p>
    <w:p w14:paraId="70D10725">
      <w:pPr>
        <w:pStyle w:val="22"/>
        <w:keepNext w:val="0"/>
        <w:keepLines w:val="0"/>
        <w:pageBreakBefore w:val="0"/>
        <w:widowControl w:val="0"/>
        <w:kinsoku/>
        <w:wordWrap/>
        <w:overflowPunct/>
        <w:topLinePunct w:val="0"/>
        <w:autoSpaceDE/>
        <w:autoSpaceDN/>
        <w:bidi w:val="0"/>
        <w:adjustRightInd/>
        <w:snapToGrid/>
        <w:spacing w:before="156" w:after="156" w:line="460" w:lineRule="exact"/>
        <w:ind w:firstLine="560" w:firstLineChars="200"/>
        <w:jc w:val="both"/>
        <w:textAlignment w:val="auto"/>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2、完善好招标公告信息后，点击“保存”按钮，保存招标公告信息；</w:t>
      </w:r>
    </w:p>
    <w:p w14:paraId="518584E2">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4785" cy="2445385"/>
            <wp:effectExtent l="0" t="0" r="12065" b="1206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5"/>
                    <a:stretch>
                      <a:fillRect/>
                    </a:stretch>
                  </pic:blipFill>
                  <pic:spPr>
                    <a:xfrm>
                      <a:off x="0" y="0"/>
                      <a:ext cx="5264785" cy="2445385"/>
                    </a:xfrm>
                    <a:prstGeom prst="rect">
                      <a:avLst/>
                    </a:prstGeom>
                    <a:noFill/>
                    <a:ln>
                      <a:noFill/>
                    </a:ln>
                  </pic:spPr>
                </pic:pic>
              </a:graphicData>
            </a:graphic>
          </wp:inline>
        </w:drawing>
      </w:r>
    </w:p>
    <w:p w14:paraId="2D7A7443">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jc w:val="left"/>
        <w:textAlignment w:val="auto"/>
      </w:pPr>
      <w:r>
        <w:rPr>
          <w:rFonts w:hint="eastAsia" w:ascii="华文仿宋" w:hAnsi="华文仿宋" w:eastAsia="华文仿宋" w:cs="华文仿宋"/>
          <w:kern w:val="2"/>
          <w:sz w:val="28"/>
          <w:szCs w:val="28"/>
          <w:lang w:val="en-US" w:eastAsia="zh-CN" w:bidi="ar-SA"/>
          <w14:ligatures w14:val="standardContextual"/>
        </w:rPr>
        <w:t>3、点击“预览”按钮，可以预览查看招标公告详细信息。</w:t>
      </w:r>
    </w:p>
    <w:p w14:paraId="77BE06AA">
      <w:pPr>
        <w:pageBreakBefore w:val="0"/>
        <w:widowControl w:val="0"/>
        <w:kinsoku/>
        <w:wordWrap/>
        <w:overflowPunct/>
        <w:autoSpaceDE/>
        <w:autoSpaceDN/>
        <w:bidi w:val="0"/>
        <w:adjustRightInd/>
        <w:snapToGrid/>
        <w:ind w:left="0" w:leftChars="0" w:firstLine="0" w:firstLineChars="0"/>
        <w:rPr>
          <w:rFonts w:hint="eastAsia"/>
          <w:sz w:val="21"/>
          <w:szCs w:val="21"/>
          <w:lang w:eastAsia="zh-CN"/>
        </w:rPr>
      </w:pPr>
      <w:r>
        <w:drawing>
          <wp:inline distT="0" distB="0" distL="114300" distR="114300">
            <wp:extent cx="5270500" cy="1934210"/>
            <wp:effectExtent l="0" t="0" r="6350" b="889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26"/>
                    <a:stretch>
                      <a:fillRect/>
                    </a:stretch>
                  </pic:blipFill>
                  <pic:spPr>
                    <a:xfrm>
                      <a:off x="0" y="0"/>
                      <a:ext cx="5270500" cy="1934210"/>
                    </a:xfrm>
                    <a:prstGeom prst="rect">
                      <a:avLst/>
                    </a:prstGeom>
                    <a:noFill/>
                    <a:ln>
                      <a:noFill/>
                    </a:ln>
                  </pic:spPr>
                </pic:pic>
              </a:graphicData>
            </a:graphic>
          </wp:inline>
        </w:drawing>
      </w:r>
    </w:p>
    <w:p w14:paraId="14DDE358">
      <w:pPr>
        <w:pStyle w:val="2"/>
        <w:numPr>
          <w:ilvl w:val="0"/>
          <w:numId w:val="1"/>
        </w:numPr>
        <w:rPr>
          <w:rFonts w:hint="eastAsia" w:ascii="华文仿宋" w:hAnsi="华文仿宋" w:eastAsia="华文仿宋" w:cs="华文仿宋"/>
        </w:rPr>
      </w:pPr>
      <w:bookmarkStart w:id="16" w:name="_Toc1149"/>
      <w:r>
        <w:rPr>
          <w:rFonts w:hint="eastAsia" w:ascii="华文仿宋" w:hAnsi="华文仿宋" w:eastAsia="华文仿宋" w:cs="华文仿宋"/>
          <w:b/>
          <w:bCs/>
          <w:kern w:val="2"/>
          <w:sz w:val="32"/>
          <w:szCs w:val="32"/>
          <w:lang w:val="en-US" w:eastAsia="zh-CN" w:bidi="ar-SA"/>
          <w14:ligatures w14:val="none"/>
        </w:rPr>
        <w:t>编制招标文件</w:t>
      </w:r>
      <w:bookmarkEnd w:id="16"/>
    </w:p>
    <w:p w14:paraId="0FDE9D09">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1、点击“招标文件”业务节点，进行“创建文件”。</w:t>
      </w:r>
    </w:p>
    <w:p w14:paraId="2A909444">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4150" cy="1760855"/>
            <wp:effectExtent l="0" t="0" r="12700" b="1079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27"/>
                    <a:stretch>
                      <a:fillRect/>
                    </a:stretch>
                  </pic:blipFill>
                  <pic:spPr>
                    <a:xfrm>
                      <a:off x="0" y="0"/>
                      <a:ext cx="5264150" cy="1760855"/>
                    </a:xfrm>
                    <a:prstGeom prst="rect">
                      <a:avLst/>
                    </a:prstGeom>
                    <a:noFill/>
                    <a:ln>
                      <a:noFill/>
                    </a:ln>
                  </pic:spPr>
                </pic:pic>
              </a:graphicData>
            </a:graphic>
          </wp:inline>
        </w:drawing>
      </w:r>
    </w:p>
    <w:p w14:paraId="21A110C1">
      <w:pPr>
        <w:keepNext w:val="0"/>
        <w:keepLines w:val="0"/>
        <w:pageBreakBefore w:val="0"/>
        <w:widowControl w:val="0"/>
        <w:numPr>
          <w:ilvl w:val="0"/>
          <w:numId w:val="8"/>
        </w:numPr>
        <w:kinsoku/>
        <w:wordWrap/>
        <w:overflowPunct/>
        <w:topLinePunct w:val="0"/>
        <w:autoSpaceDE/>
        <w:autoSpaceDN/>
        <w:bidi w:val="0"/>
        <w:adjustRightInd/>
        <w:snapToGrid/>
        <w:ind w:left="0"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点击“创建文件”，选择文件模版。</w:t>
      </w:r>
    </w:p>
    <w:p w14:paraId="4CDDFCF9">
      <w:pPr>
        <w:ind w:left="0" w:leftChars="0" w:firstLine="0" w:firstLineChars="0"/>
        <w:rPr>
          <w:rFonts w:hint="eastAsia" w:ascii="华文仿宋" w:hAnsi="华文仿宋" w:eastAsia="华文仿宋" w:cs="华文仿宋"/>
          <w:sz w:val="32"/>
          <w:szCs w:val="32"/>
          <w:lang w:val="en-US" w:eastAsia="zh-CN"/>
        </w:rPr>
      </w:pPr>
      <w:r>
        <w:drawing>
          <wp:inline distT="0" distB="0" distL="114300" distR="114300">
            <wp:extent cx="5266690" cy="929640"/>
            <wp:effectExtent l="0" t="0" r="10160" b="381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28"/>
                    <a:stretch>
                      <a:fillRect/>
                    </a:stretch>
                  </pic:blipFill>
                  <pic:spPr>
                    <a:xfrm>
                      <a:off x="0" y="0"/>
                      <a:ext cx="5266690" cy="929640"/>
                    </a:xfrm>
                    <a:prstGeom prst="rect">
                      <a:avLst/>
                    </a:prstGeom>
                    <a:noFill/>
                    <a:ln>
                      <a:noFill/>
                    </a:ln>
                  </pic:spPr>
                </pic:pic>
              </a:graphicData>
            </a:graphic>
          </wp:inline>
        </w:drawing>
      </w:r>
    </w:p>
    <w:p w14:paraId="21912506">
      <w:pPr>
        <w:keepNext w:val="0"/>
        <w:keepLines w:val="0"/>
        <w:pageBreakBefore w:val="0"/>
        <w:widowControl w:val="0"/>
        <w:numPr>
          <w:ilvl w:val="0"/>
          <w:numId w:val="8"/>
        </w:numPr>
        <w:kinsoku/>
        <w:wordWrap/>
        <w:overflowPunct/>
        <w:topLinePunct w:val="0"/>
        <w:autoSpaceDE/>
        <w:autoSpaceDN/>
        <w:bidi w:val="0"/>
        <w:adjustRightInd/>
        <w:snapToGrid/>
        <w:ind w:left="0"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招标文件模版分为：基本信息、工程量清单、评标办法、编制招标书、文件汇总模块。</w:t>
      </w:r>
    </w:p>
    <w:p w14:paraId="14C05D0A">
      <w:pPr>
        <w:pStyle w:val="3"/>
        <w:numPr>
          <w:ilvl w:val="1"/>
          <w:numId w:val="0"/>
        </w:numPr>
        <w:bidi w:val="0"/>
        <w:ind w:left="-141" w:leftChars="0"/>
        <w:rPr>
          <w:rFonts w:hint="eastAsia" w:ascii="华文仿宋" w:hAnsi="华文仿宋" w:eastAsia="华文仿宋" w:cs="华文仿宋"/>
          <w:sz w:val="32"/>
          <w:szCs w:val="32"/>
          <w:lang w:val="en-US" w:eastAsia="zh-CN"/>
        </w:rPr>
      </w:pPr>
      <w:bookmarkStart w:id="17" w:name="_Toc22130"/>
      <w:r>
        <w:rPr>
          <w:rFonts w:hint="eastAsia" w:ascii="华文仿宋" w:hAnsi="华文仿宋" w:eastAsia="华文仿宋" w:cs="华文仿宋"/>
          <w:lang w:val="en-US" w:eastAsia="zh-CN"/>
        </w:rPr>
        <w:t>（一）基本信息：</w:t>
      </w:r>
      <w:r>
        <w:rPr>
          <w:rFonts w:hint="eastAsia" w:ascii="华文仿宋" w:hAnsi="华文仿宋" w:eastAsia="华文仿宋" w:cs="华文仿宋"/>
          <w:sz w:val="32"/>
          <w:szCs w:val="32"/>
          <w:lang w:val="en-US" w:eastAsia="zh-CN"/>
        </w:rPr>
        <w:t>展示项目标段基本信息。</w:t>
      </w:r>
      <w:bookmarkEnd w:id="17"/>
    </w:p>
    <w:p w14:paraId="435B6F62">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73040" cy="2037080"/>
            <wp:effectExtent l="0" t="0" r="3810" b="1270"/>
            <wp:docPr id="1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pic:cNvPicPr>
                      <a:picLocks noChangeAspect="1"/>
                    </pic:cNvPicPr>
                  </pic:nvPicPr>
                  <pic:blipFill>
                    <a:blip r:embed="rId29"/>
                    <a:stretch>
                      <a:fillRect/>
                    </a:stretch>
                  </pic:blipFill>
                  <pic:spPr>
                    <a:xfrm>
                      <a:off x="0" y="0"/>
                      <a:ext cx="5273040" cy="2037080"/>
                    </a:xfrm>
                    <a:prstGeom prst="rect">
                      <a:avLst/>
                    </a:prstGeom>
                    <a:noFill/>
                    <a:ln>
                      <a:noFill/>
                    </a:ln>
                  </pic:spPr>
                </pic:pic>
              </a:graphicData>
            </a:graphic>
          </wp:inline>
        </w:drawing>
      </w:r>
    </w:p>
    <w:p w14:paraId="722A089D">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1、参数设置：对项目影响评标的关键数据进行设置。</w:t>
      </w:r>
    </w:p>
    <w:p w14:paraId="0C2A2EC9">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59070" cy="2400300"/>
            <wp:effectExtent l="0" t="0" r="17780" b="0"/>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30"/>
                    <a:stretch>
                      <a:fillRect/>
                    </a:stretch>
                  </pic:blipFill>
                  <pic:spPr>
                    <a:xfrm>
                      <a:off x="0" y="0"/>
                      <a:ext cx="5259070" cy="2400300"/>
                    </a:xfrm>
                    <a:prstGeom prst="rect">
                      <a:avLst/>
                    </a:prstGeom>
                    <a:noFill/>
                    <a:ln>
                      <a:noFill/>
                    </a:ln>
                  </pic:spPr>
                </pic:pic>
              </a:graphicData>
            </a:graphic>
          </wp:inline>
        </w:drawing>
      </w:r>
    </w:p>
    <w:p w14:paraId="5069D7DC">
      <w:pPr>
        <w:pStyle w:val="3"/>
        <w:numPr>
          <w:ilvl w:val="1"/>
          <w:numId w:val="0"/>
        </w:numPr>
        <w:bidi w:val="0"/>
        <w:ind w:left="-141" w:leftChars="0"/>
        <w:rPr>
          <w:rFonts w:hint="eastAsia" w:ascii="华文仿宋" w:hAnsi="华文仿宋" w:eastAsia="华文仿宋" w:cs="华文仿宋"/>
          <w:lang w:val="en-US" w:eastAsia="zh-CN"/>
        </w:rPr>
      </w:pPr>
      <w:bookmarkStart w:id="18" w:name="_Toc4677"/>
      <w:r>
        <w:rPr>
          <w:rFonts w:hint="eastAsia" w:ascii="华文仿宋" w:hAnsi="华文仿宋" w:eastAsia="华文仿宋" w:cs="华文仿宋"/>
          <w:lang w:val="en-US" w:eastAsia="zh-CN"/>
        </w:rPr>
        <w:t>（二）开标一览表</w:t>
      </w:r>
      <w:bookmarkEnd w:id="18"/>
    </w:p>
    <w:p w14:paraId="0B566B0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设置基本信息和报价信息，设定是否唱标，设定的开标一览表数据，由投标人进行填写。</w:t>
      </w:r>
    </w:p>
    <w:p w14:paraId="0157A00D">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rPr>
          <w:rFonts w:ascii="宋体" w:hAnsi="宋体" w:eastAsia="宋体" w:cs="宋体"/>
          <w:sz w:val="24"/>
          <w:szCs w:val="24"/>
        </w:rPr>
        <w:drawing>
          <wp:inline distT="0" distB="0" distL="114300" distR="114300">
            <wp:extent cx="5132070" cy="2400935"/>
            <wp:effectExtent l="0" t="0" r="11430" b="18415"/>
            <wp:docPr id="11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descr="IMG_256"/>
                    <pic:cNvPicPr>
                      <a:picLocks noChangeAspect="1"/>
                    </pic:cNvPicPr>
                  </pic:nvPicPr>
                  <pic:blipFill>
                    <a:blip r:embed="rId31"/>
                    <a:stretch>
                      <a:fillRect/>
                    </a:stretch>
                  </pic:blipFill>
                  <pic:spPr>
                    <a:xfrm>
                      <a:off x="0" y="0"/>
                      <a:ext cx="5132070" cy="2400935"/>
                    </a:xfrm>
                    <a:prstGeom prst="rect">
                      <a:avLst/>
                    </a:prstGeom>
                    <a:noFill/>
                    <a:ln w="9525">
                      <a:noFill/>
                    </a:ln>
                  </pic:spPr>
                </pic:pic>
              </a:graphicData>
            </a:graphic>
          </wp:inline>
        </w:drawing>
      </w:r>
    </w:p>
    <w:p w14:paraId="1277E1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模版支持新增、删除、编辑、是否唱标等操作。</w:t>
      </w:r>
    </w:p>
    <w:p w14:paraId="0F2FC0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（1）【新增投标信息项】：招标代理选中要新增项的父级节点，点击【新增】按钮，系统会在指定位置新增一条投标信息内容。</w:t>
      </w:r>
    </w:p>
    <w:p w14:paraId="06116D1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66690" cy="2536825"/>
            <wp:effectExtent l="0" t="0" r="10160" b="15875"/>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32"/>
                    <a:stretch>
                      <a:fillRect/>
                    </a:stretch>
                  </pic:blipFill>
                  <pic:spPr>
                    <a:xfrm>
                      <a:off x="0" y="0"/>
                      <a:ext cx="5266690" cy="2536825"/>
                    </a:xfrm>
                    <a:prstGeom prst="rect">
                      <a:avLst/>
                    </a:prstGeom>
                    <a:noFill/>
                    <a:ln>
                      <a:noFill/>
                    </a:ln>
                  </pic:spPr>
                </pic:pic>
              </a:graphicData>
            </a:graphic>
          </wp:inline>
        </w:drawing>
      </w:r>
    </w:p>
    <w:p w14:paraId="2565C3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（2）【编辑】：鼠标定位到编辑位置，修改要编辑的内容。</w:t>
      </w:r>
    </w:p>
    <w:p w14:paraId="07C1D1C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华文仿宋" w:hAnsi="华文仿宋" w:eastAsia="华文仿宋" w:cs="华文仿宋"/>
        </w:rPr>
      </w:pPr>
      <w:r>
        <w:drawing>
          <wp:inline distT="0" distB="0" distL="114300" distR="114300">
            <wp:extent cx="5271770" cy="1771650"/>
            <wp:effectExtent l="0" t="0" r="5080" b="0"/>
            <wp:docPr id="1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9"/>
                    <pic:cNvPicPr>
                      <a:picLocks noChangeAspect="1"/>
                    </pic:cNvPicPr>
                  </pic:nvPicPr>
                  <pic:blipFill>
                    <a:blip r:embed="rId33"/>
                    <a:stretch>
                      <a:fillRect/>
                    </a:stretch>
                  </pic:blipFill>
                  <pic:spPr>
                    <a:xfrm>
                      <a:off x="0" y="0"/>
                      <a:ext cx="5271770" cy="1771650"/>
                    </a:xfrm>
                    <a:prstGeom prst="rect">
                      <a:avLst/>
                    </a:prstGeom>
                    <a:noFill/>
                    <a:ln>
                      <a:noFill/>
                    </a:ln>
                  </pic:spPr>
                </pic:pic>
              </a:graphicData>
            </a:graphic>
          </wp:inline>
        </w:drawing>
      </w:r>
    </w:p>
    <w:p w14:paraId="1187ED4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（3）【是否唱标】：针对每一项投标信息，招标代理可以设定是否唱标。</w:t>
      </w:r>
    </w:p>
    <w:p w14:paraId="2582533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华文仿宋" w:hAnsi="华文仿宋" w:eastAsia="华文仿宋" w:cs="华文仿宋"/>
        </w:rPr>
      </w:pPr>
      <w:r>
        <w:drawing>
          <wp:inline distT="0" distB="0" distL="114300" distR="114300">
            <wp:extent cx="5270500" cy="1626235"/>
            <wp:effectExtent l="0" t="0" r="6350" b="12065"/>
            <wp:docPr id="1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0"/>
                    <pic:cNvPicPr>
                      <a:picLocks noChangeAspect="1"/>
                    </pic:cNvPicPr>
                  </pic:nvPicPr>
                  <pic:blipFill>
                    <a:blip r:embed="rId34"/>
                    <a:stretch>
                      <a:fillRect/>
                    </a:stretch>
                  </pic:blipFill>
                  <pic:spPr>
                    <a:xfrm>
                      <a:off x="0" y="0"/>
                      <a:ext cx="5270500" cy="1626235"/>
                    </a:xfrm>
                    <a:prstGeom prst="rect">
                      <a:avLst/>
                    </a:prstGeom>
                    <a:noFill/>
                    <a:ln>
                      <a:noFill/>
                    </a:ln>
                  </pic:spPr>
                </pic:pic>
              </a:graphicData>
            </a:graphic>
          </wp:inline>
        </w:drawing>
      </w:r>
    </w:p>
    <w:p w14:paraId="76EA5B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（4）【删除】：招标代理在要删除的投标项后面点击“删除”按钮后点击“确定”。</w:t>
      </w:r>
    </w:p>
    <w:p w14:paraId="6AEBB8F1">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73675" cy="2197735"/>
            <wp:effectExtent l="0" t="0" r="3175" b="12065"/>
            <wp:docPr id="1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1"/>
                    <pic:cNvPicPr>
                      <a:picLocks noChangeAspect="1"/>
                    </pic:cNvPicPr>
                  </pic:nvPicPr>
                  <pic:blipFill>
                    <a:blip r:embed="rId35"/>
                    <a:stretch>
                      <a:fillRect/>
                    </a:stretch>
                  </pic:blipFill>
                  <pic:spPr>
                    <a:xfrm>
                      <a:off x="0" y="0"/>
                      <a:ext cx="5273675" cy="2197735"/>
                    </a:xfrm>
                    <a:prstGeom prst="rect">
                      <a:avLst/>
                    </a:prstGeom>
                    <a:noFill/>
                    <a:ln>
                      <a:noFill/>
                    </a:ln>
                  </pic:spPr>
                </pic:pic>
              </a:graphicData>
            </a:graphic>
          </wp:inline>
        </w:drawing>
      </w:r>
    </w:p>
    <w:p w14:paraId="273333CB">
      <w:pPr>
        <w:pStyle w:val="3"/>
        <w:numPr>
          <w:ilvl w:val="0"/>
          <w:numId w:val="9"/>
        </w:numPr>
        <w:bidi w:val="0"/>
        <w:ind w:left="576" w:leftChars="0" w:firstLineChars="0"/>
        <w:rPr>
          <w:rFonts w:hint="eastAsia" w:ascii="华文仿宋" w:hAnsi="华文仿宋" w:eastAsia="华文仿宋" w:cs="华文仿宋"/>
          <w:lang w:val="en-US" w:eastAsia="zh-CN"/>
        </w:rPr>
      </w:pPr>
      <w:bookmarkStart w:id="19" w:name="_Toc27298"/>
      <w:r>
        <w:rPr>
          <w:rFonts w:hint="eastAsia" w:ascii="华文仿宋" w:hAnsi="华文仿宋" w:eastAsia="华文仿宋" w:cs="华文仿宋"/>
          <w:lang w:val="en-US" w:eastAsia="zh-CN"/>
        </w:rPr>
        <w:t>工程量清单</w:t>
      </w:r>
      <w:bookmarkEnd w:id="19"/>
    </w:p>
    <w:p w14:paraId="5192C43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点击“选择文件”，上传控制价和招标清单。</w:t>
      </w:r>
    </w:p>
    <w:p w14:paraId="7205A15B">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eastAsia="宋体"/>
          <w:lang w:val="en-US" w:eastAsia="zh-CN"/>
        </w:rPr>
      </w:pPr>
      <w:r>
        <w:drawing>
          <wp:inline distT="0" distB="0" distL="114300" distR="114300">
            <wp:extent cx="5266690" cy="2480945"/>
            <wp:effectExtent l="0" t="0" r="10160" b="14605"/>
            <wp:docPr id="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9"/>
                    <pic:cNvPicPr>
                      <a:picLocks noChangeAspect="1"/>
                    </pic:cNvPicPr>
                  </pic:nvPicPr>
                  <pic:blipFill>
                    <a:blip r:embed="rId36"/>
                    <a:stretch>
                      <a:fillRect/>
                    </a:stretch>
                  </pic:blipFill>
                  <pic:spPr>
                    <a:xfrm>
                      <a:off x="0" y="0"/>
                      <a:ext cx="5266690" cy="2480945"/>
                    </a:xfrm>
                    <a:prstGeom prst="rect">
                      <a:avLst/>
                    </a:prstGeom>
                    <a:noFill/>
                    <a:ln>
                      <a:noFill/>
                    </a:ln>
                  </pic:spPr>
                </pic:pic>
              </a:graphicData>
            </a:graphic>
          </wp:inline>
        </w:drawing>
      </w:r>
    </w:p>
    <w:p w14:paraId="60A6E7E7">
      <w:pPr>
        <w:pStyle w:val="3"/>
        <w:numPr>
          <w:ilvl w:val="1"/>
          <w:numId w:val="0"/>
        </w:numPr>
        <w:bidi w:val="0"/>
        <w:ind w:left="-141" w:leftChars="0"/>
        <w:rPr>
          <w:rFonts w:hint="eastAsia" w:ascii="华文仿宋" w:hAnsi="华文仿宋" w:eastAsia="华文仿宋" w:cs="华文仿宋"/>
          <w:lang w:val="en-US" w:eastAsia="zh-CN"/>
        </w:rPr>
      </w:pPr>
      <w:bookmarkStart w:id="20" w:name="_Toc6972"/>
      <w:r>
        <w:rPr>
          <w:rFonts w:hint="eastAsia" w:ascii="华文仿宋" w:hAnsi="华文仿宋" w:eastAsia="华文仿宋" w:cs="华文仿宋"/>
          <w:lang w:val="en-US" w:eastAsia="zh-CN"/>
        </w:rPr>
        <w:t>（四）评标办法</w:t>
      </w:r>
      <w:bookmarkEnd w:id="20"/>
    </w:p>
    <w:p w14:paraId="57EDDEE4">
      <w:pPr>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评标办法文件需要对【投标文件要求（目录项）】和【评审标准（评分项）】进行</w:t>
      </w:r>
      <w:r>
        <w:rPr>
          <w:rFonts w:hint="eastAsia" w:ascii="华文仿宋" w:hAnsi="华文仿宋" w:eastAsia="华文仿宋" w:cs="华文仿宋"/>
          <w:b/>
          <w:bCs/>
          <w:color w:val="FF0000"/>
          <w:sz w:val="28"/>
          <w:szCs w:val="28"/>
          <w:lang w:val="en-US" w:eastAsia="zh-CN"/>
        </w:rPr>
        <w:t>分开</w:t>
      </w:r>
      <w:r>
        <w:rPr>
          <w:rFonts w:hint="eastAsia" w:ascii="华文仿宋" w:hAnsi="华文仿宋" w:eastAsia="华文仿宋" w:cs="华文仿宋"/>
          <w:sz w:val="28"/>
          <w:szCs w:val="28"/>
          <w:lang w:val="en-US" w:eastAsia="zh-CN"/>
        </w:rPr>
        <w:t>编制。评分项与目录项通过</w:t>
      </w:r>
      <w:r>
        <w:rPr>
          <w:rFonts w:hint="eastAsia" w:ascii="华文仿宋" w:hAnsi="华文仿宋" w:eastAsia="华文仿宋" w:cs="华文仿宋"/>
          <w:b/>
          <w:bCs/>
          <w:color w:val="FF0000"/>
          <w:sz w:val="28"/>
          <w:szCs w:val="28"/>
          <w:lang w:val="en-US" w:eastAsia="zh-CN"/>
        </w:rPr>
        <w:t>关联目录</w:t>
      </w:r>
      <w:r>
        <w:rPr>
          <w:rFonts w:hint="eastAsia" w:ascii="华文仿宋" w:hAnsi="华文仿宋" w:eastAsia="华文仿宋" w:cs="华文仿宋"/>
          <w:sz w:val="28"/>
          <w:szCs w:val="28"/>
          <w:lang w:val="en-US" w:eastAsia="zh-CN"/>
        </w:rPr>
        <w:t>功能进行绑定，关联目录可以减少专家查找文件时间。</w:t>
      </w:r>
    </w:p>
    <w:p w14:paraId="78D26322">
      <w:pPr>
        <w:pStyle w:val="4"/>
        <w:bidi w:val="0"/>
        <w:rPr>
          <w:rFonts w:hint="eastAsia" w:ascii="华文仿宋" w:hAnsi="华文仿宋" w:eastAsia="华文仿宋" w:cs="华文仿宋"/>
          <w:lang w:val="en-US" w:eastAsia="zh-CN"/>
        </w:rPr>
      </w:pPr>
      <w:bookmarkStart w:id="21" w:name="_Toc409"/>
      <w:bookmarkStart w:id="22" w:name="_Toc1232"/>
      <w:r>
        <w:rPr>
          <w:rFonts w:hint="eastAsia" w:ascii="华文仿宋" w:hAnsi="华文仿宋" w:eastAsia="华文仿宋" w:cs="华文仿宋"/>
          <w:lang w:val="en-US" w:eastAsia="zh-CN"/>
        </w:rPr>
        <w:t>第一步：选择评标办法参数设置模版</w:t>
      </w:r>
      <w:bookmarkEnd w:id="21"/>
      <w:bookmarkEnd w:id="22"/>
    </w:p>
    <w:p w14:paraId="026DBB8A">
      <w:pPr>
        <w:ind w:firstLine="56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需要在【投标文件组成设置】中切换选择模版。</w:t>
      </w:r>
    </w:p>
    <w:p w14:paraId="46E7170E">
      <w:pPr>
        <w:ind w:left="0" w:leftChars="0" w:firstLine="0" w:firstLineChars="0"/>
        <w:rPr>
          <w:rFonts w:hint="eastAsia" w:ascii="华文仿宋" w:hAnsi="华文仿宋" w:eastAsia="华文仿宋" w:cs="华文仿宋"/>
        </w:rPr>
      </w:pPr>
      <w:r>
        <w:drawing>
          <wp:inline distT="0" distB="0" distL="114300" distR="114300">
            <wp:extent cx="5262245" cy="2498725"/>
            <wp:effectExtent l="0" t="0" r="14605" b="15875"/>
            <wp:docPr id="1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2"/>
                    <pic:cNvPicPr>
                      <a:picLocks noChangeAspect="1"/>
                    </pic:cNvPicPr>
                  </pic:nvPicPr>
                  <pic:blipFill>
                    <a:blip r:embed="rId37"/>
                    <a:stretch>
                      <a:fillRect/>
                    </a:stretch>
                  </pic:blipFill>
                  <pic:spPr>
                    <a:xfrm>
                      <a:off x="0" y="0"/>
                      <a:ext cx="5262245" cy="2498725"/>
                    </a:xfrm>
                    <a:prstGeom prst="rect">
                      <a:avLst/>
                    </a:prstGeom>
                    <a:noFill/>
                    <a:ln>
                      <a:noFill/>
                    </a:ln>
                  </pic:spPr>
                </pic:pic>
              </a:graphicData>
            </a:graphic>
          </wp:inline>
        </w:drawing>
      </w:r>
    </w:p>
    <w:p w14:paraId="23234CF5">
      <w:pPr>
        <w:pStyle w:val="4"/>
        <w:bidi w:val="0"/>
        <w:rPr>
          <w:rFonts w:hint="eastAsia" w:ascii="华文仿宋" w:hAnsi="华文仿宋" w:eastAsia="华文仿宋" w:cs="华文仿宋"/>
          <w:lang w:val="en-US" w:eastAsia="zh-CN"/>
        </w:rPr>
      </w:pPr>
      <w:bookmarkStart w:id="23" w:name="_Toc7324"/>
      <w:bookmarkStart w:id="24" w:name="_Toc12647"/>
      <w:r>
        <w:rPr>
          <w:rFonts w:hint="eastAsia" w:ascii="华文仿宋" w:hAnsi="华文仿宋" w:eastAsia="华文仿宋" w:cs="华文仿宋"/>
          <w:lang w:val="en-US" w:eastAsia="zh-CN"/>
        </w:rPr>
        <w:t>第二步：设置投标文件组成</w:t>
      </w:r>
      <w:bookmarkEnd w:id="23"/>
      <w:bookmarkEnd w:id="24"/>
    </w:p>
    <w:p w14:paraId="2134FDF7">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【投标文件组成设置】：投标人制作投标文件时可以绑定的目录项，招标人需认真设定，若有评分项未提供给投标人绑定项可能会导致项目争议。</w:t>
      </w:r>
    </w:p>
    <w:p w14:paraId="433BBBC1">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投标文件目录设置可编辑每个目录项的名称，投标文件要求和投标文件模版。目录项支持设定是否启用、是否必填、添加子项、删除操作；目录项编辑完成后选中最上面的投标文件目录菜单，选择“本地保存”，建议保存文件命名时加上项目名称和评分办法名称，便于下次使用时区分。</w:t>
      </w:r>
    </w:p>
    <w:p w14:paraId="4C936E77">
      <w:pPr>
        <w:ind w:left="0" w:leftChars="0" w:firstLine="0" w:firstLineChars="0"/>
        <w:rPr>
          <w:rFonts w:hint="eastAsia" w:ascii="华文仿宋" w:hAnsi="华文仿宋" w:eastAsia="华文仿宋" w:cs="华文仿宋"/>
        </w:rPr>
      </w:pPr>
      <w:r>
        <w:drawing>
          <wp:inline distT="0" distB="0" distL="114300" distR="114300">
            <wp:extent cx="5269865" cy="1099820"/>
            <wp:effectExtent l="0" t="0" r="6985" b="5080"/>
            <wp:docPr id="1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3"/>
                    <pic:cNvPicPr>
                      <a:picLocks noChangeAspect="1"/>
                    </pic:cNvPicPr>
                  </pic:nvPicPr>
                  <pic:blipFill>
                    <a:blip r:embed="rId38"/>
                    <a:stretch>
                      <a:fillRect/>
                    </a:stretch>
                  </pic:blipFill>
                  <pic:spPr>
                    <a:xfrm>
                      <a:off x="0" y="0"/>
                      <a:ext cx="5269865" cy="1099820"/>
                    </a:xfrm>
                    <a:prstGeom prst="rect">
                      <a:avLst/>
                    </a:prstGeom>
                    <a:noFill/>
                    <a:ln>
                      <a:noFill/>
                    </a:ln>
                  </pic:spPr>
                </pic:pic>
              </a:graphicData>
            </a:graphic>
          </wp:inline>
        </w:drawing>
      </w:r>
    </w:p>
    <w:p w14:paraId="6BD382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（1）编辑目录项：点击要编辑目录项后的【编辑按钮】，在弹出页面中修改目录项名称、投标文件要求。</w:t>
      </w:r>
    </w:p>
    <w:p w14:paraId="1E04A2E8">
      <w:pPr>
        <w:ind w:left="0" w:leftChars="0" w:firstLine="0" w:firstLineChars="0"/>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07610" cy="2232660"/>
            <wp:effectExtent l="9525" t="9525" r="12065" b="2476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39"/>
                    <a:stretch>
                      <a:fillRect/>
                    </a:stretch>
                  </pic:blipFill>
                  <pic:spPr>
                    <a:xfrm>
                      <a:off x="0" y="0"/>
                      <a:ext cx="5007610" cy="2232660"/>
                    </a:xfrm>
                    <a:prstGeom prst="rect">
                      <a:avLst/>
                    </a:prstGeom>
                    <a:noFill/>
                    <a:ln>
                      <a:solidFill>
                        <a:srgbClr val="0000FF"/>
                      </a:solidFill>
                    </a:ln>
                  </pic:spPr>
                </pic:pic>
              </a:graphicData>
            </a:graphic>
          </wp:inline>
        </w:drawing>
      </w:r>
    </w:p>
    <w:p w14:paraId="4D7CE022">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添加子项：点击要添加目录项后的【添加子项】按钮，在弹出页面中填写目录名称、投标文件要求。</w:t>
      </w:r>
    </w:p>
    <w:p w14:paraId="11423215">
      <w:pPr>
        <w:ind w:left="0" w:leftChars="0" w:firstLine="0" w:firstLineChars="0"/>
        <w:rPr>
          <w:rFonts w:hint="eastAsia" w:ascii="华文仿宋" w:hAnsi="华文仿宋" w:eastAsia="华文仿宋" w:cs="华文仿宋"/>
        </w:rPr>
      </w:pPr>
      <w:r>
        <w:drawing>
          <wp:inline distT="0" distB="0" distL="114300" distR="114300">
            <wp:extent cx="5262880" cy="2171065"/>
            <wp:effectExtent l="0" t="0" r="13970" b="635"/>
            <wp:docPr id="1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4"/>
                    <pic:cNvPicPr>
                      <a:picLocks noChangeAspect="1"/>
                    </pic:cNvPicPr>
                  </pic:nvPicPr>
                  <pic:blipFill>
                    <a:blip r:embed="rId40"/>
                    <a:stretch>
                      <a:fillRect/>
                    </a:stretch>
                  </pic:blipFill>
                  <pic:spPr>
                    <a:xfrm>
                      <a:off x="0" y="0"/>
                      <a:ext cx="5262880" cy="2171065"/>
                    </a:xfrm>
                    <a:prstGeom prst="rect">
                      <a:avLst/>
                    </a:prstGeom>
                    <a:noFill/>
                    <a:ln>
                      <a:noFill/>
                    </a:ln>
                  </pic:spPr>
                </pic:pic>
              </a:graphicData>
            </a:graphic>
          </wp:inline>
        </w:drawing>
      </w:r>
    </w:p>
    <w:p w14:paraId="336A5E36">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启用:招标人（招标代理）可对评分办法模板中不使用项，设定为不启用。</w:t>
      </w:r>
    </w:p>
    <w:p w14:paraId="115B7393">
      <w:pPr>
        <w:ind w:left="0" w:leftChars="0" w:firstLine="0" w:firstLineChars="0"/>
        <w:rPr>
          <w:rFonts w:hint="eastAsia" w:ascii="华文仿宋" w:hAnsi="华文仿宋" w:eastAsia="华文仿宋" w:cs="华文仿宋"/>
        </w:rPr>
      </w:pPr>
      <w:r>
        <w:drawing>
          <wp:inline distT="0" distB="0" distL="114300" distR="114300">
            <wp:extent cx="5266690" cy="1654175"/>
            <wp:effectExtent l="0" t="0" r="10160" b="3175"/>
            <wp:docPr id="1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5"/>
                    <pic:cNvPicPr>
                      <a:picLocks noChangeAspect="1"/>
                    </pic:cNvPicPr>
                  </pic:nvPicPr>
                  <pic:blipFill>
                    <a:blip r:embed="rId41"/>
                    <a:stretch>
                      <a:fillRect/>
                    </a:stretch>
                  </pic:blipFill>
                  <pic:spPr>
                    <a:xfrm>
                      <a:off x="0" y="0"/>
                      <a:ext cx="5266690" cy="1654175"/>
                    </a:xfrm>
                    <a:prstGeom prst="rect">
                      <a:avLst/>
                    </a:prstGeom>
                    <a:noFill/>
                    <a:ln>
                      <a:noFill/>
                    </a:ln>
                  </pic:spPr>
                </pic:pic>
              </a:graphicData>
            </a:graphic>
          </wp:inline>
        </w:drawing>
      </w:r>
    </w:p>
    <w:p w14:paraId="024876F0">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必填：对投标人必须上传的目录项，设定为必填。</w:t>
      </w:r>
    </w:p>
    <w:p w14:paraId="2F178DD1">
      <w:pPr>
        <w:ind w:left="0" w:leftChars="0" w:firstLine="0" w:firstLineChars="0"/>
        <w:rPr>
          <w:rFonts w:hint="eastAsia" w:ascii="华文仿宋" w:hAnsi="华文仿宋" w:eastAsia="华文仿宋" w:cs="华文仿宋"/>
        </w:rPr>
      </w:pPr>
      <w:r>
        <w:drawing>
          <wp:inline distT="0" distB="0" distL="114300" distR="114300">
            <wp:extent cx="5273040" cy="1832610"/>
            <wp:effectExtent l="0" t="0" r="3810" b="15240"/>
            <wp:docPr id="1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6"/>
                    <pic:cNvPicPr>
                      <a:picLocks noChangeAspect="1"/>
                    </pic:cNvPicPr>
                  </pic:nvPicPr>
                  <pic:blipFill>
                    <a:blip r:embed="rId42"/>
                    <a:stretch>
                      <a:fillRect/>
                    </a:stretch>
                  </pic:blipFill>
                  <pic:spPr>
                    <a:xfrm>
                      <a:off x="0" y="0"/>
                      <a:ext cx="5273040" cy="1832610"/>
                    </a:xfrm>
                    <a:prstGeom prst="rect">
                      <a:avLst/>
                    </a:prstGeom>
                    <a:noFill/>
                    <a:ln>
                      <a:noFill/>
                    </a:ln>
                  </pic:spPr>
                </pic:pic>
              </a:graphicData>
            </a:graphic>
          </wp:inline>
        </w:drawing>
      </w:r>
    </w:p>
    <w:p w14:paraId="4FC10427">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删除：不需要使用的目录项，可点击【删除】按钮。</w:t>
      </w:r>
    </w:p>
    <w:p w14:paraId="71EED3EB">
      <w:pPr>
        <w:ind w:left="0" w:leftChars="0" w:firstLine="0" w:firstLineChars="0"/>
        <w:rPr>
          <w:rFonts w:hint="eastAsia" w:ascii="华文仿宋" w:hAnsi="华文仿宋" w:eastAsia="华文仿宋" w:cs="华文仿宋"/>
        </w:rPr>
      </w:pPr>
      <w:r>
        <w:drawing>
          <wp:inline distT="0" distB="0" distL="114300" distR="114300">
            <wp:extent cx="5267325" cy="1746250"/>
            <wp:effectExtent l="0" t="0" r="9525" b="6350"/>
            <wp:docPr id="1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7"/>
                    <pic:cNvPicPr>
                      <a:picLocks noChangeAspect="1"/>
                    </pic:cNvPicPr>
                  </pic:nvPicPr>
                  <pic:blipFill>
                    <a:blip r:embed="rId43"/>
                    <a:stretch>
                      <a:fillRect/>
                    </a:stretch>
                  </pic:blipFill>
                  <pic:spPr>
                    <a:xfrm>
                      <a:off x="0" y="0"/>
                      <a:ext cx="5267325" cy="1746250"/>
                    </a:xfrm>
                    <a:prstGeom prst="rect">
                      <a:avLst/>
                    </a:prstGeom>
                    <a:noFill/>
                    <a:ln>
                      <a:noFill/>
                    </a:ln>
                  </pic:spPr>
                </pic:pic>
              </a:graphicData>
            </a:graphic>
          </wp:inline>
        </w:drawing>
      </w:r>
    </w:p>
    <w:p w14:paraId="3910E9A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3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3、系统全新融入了</w:t>
      </w:r>
      <w:r>
        <w:rPr>
          <w:rFonts w:hint="eastAsia" w:ascii="华文仿宋" w:hAnsi="华文仿宋" w:eastAsia="华文仿宋" w:cs="华文仿宋"/>
          <w:b/>
          <w:bCs/>
          <w:color w:val="FF0000"/>
          <w:sz w:val="28"/>
          <w:szCs w:val="28"/>
          <w:lang w:val="en-US" w:eastAsia="zh-CN"/>
        </w:rPr>
        <w:t>智能检查</w:t>
      </w:r>
      <w:r>
        <w:rPr>
          <w:rFonts w:hint="eastAsia" w:ascii="华文仿宋" w:hAnsi="华文仿宋" w:eastAsia="华文仿宋" w:cs="华文仿宋"/>
          <w:sz w:val="28"/>
          <w:szCs w:val="28"/>
          <w:lang w:val="en-US" w:eastAsia="zh-CN"/>
        </w:rPr>
        <w:t>机制，确保招标人在精心构建</w:t>
      </w:r>
      <w:r>
        <w:rPr>
          <w:rFonts w:hint="eastAsia" w:ascii="华文仿宋" w:hAnsi="华文仿宋" w:eastAsia="华文仿宋" w:cs="华文仿宋"/>
          <w:color w:val="FF0000"/>
          <w:sz w:val="28"/>
          <w:szCs w:val="28"/>
          <w:lang w:val="en-US" w:eastAsia="zh-CN"/>
        </w:rPr>
        <w:t>目录项</w:t>
      </w:r>
      <w:r>
        <w:rPr>
          <w:rFonts w:hint="eastAsia" w:ascii="华文仿宋" w:hAnsi="华文仿宋" w:eastAsia="华文仿宋" w:cs="华文仿宋"/>
          <w:sz w:val="28"/>
          <w:szCs w:val="28"/>
          <w:lang w:val="en-US" w:eastAsia="zh-CN"/>
        </w:rPr>
        <w:t>之后，可自主进行查漏补缺的便捷能力，确保每一环节不出问题。</w:t>
      </w:r>
    </w:p>
    <w:p w14:paraId="77914A18">
      <w:pPr>
        <w:ind w:left="0" w:leftChars="0" w:firstLine="0" w:firstLineChars="0"/>
        <w:rPr>
          <w:rFonts w:hint="eastAsia" w:ascii="华文仿宋" w:hAnsi="华文仿宋" w:eastAsia="华文仿宋" w:cs="华文仿宋"/>
        </w:rPr>
      </w:pPr>
      <w:r>
        <w:drawing>
          <wp:inline distT="0" distB="0" distL="114300" distR="114300">
            <wp:extent cx="5266690" cy="2016760"/>
            <wp:effectExtent l="0" t="0" r="10160" b="2540"/>
            <wp:docPr id="1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8"/>
                    <pic:cNvPicPr>
                      <a:picLocks noChangeAspect="1"/>
                    </pic:cNvPicPr>
                  </pic:nvPicPr>
                  <pic:blipFill>
                    <a:blip r:embed="rId44"/>
                    <a:stretch>
                      <a:fillRect/>
                    </a:stretch>
                  </pic:blipFill>
                  <pic:spPr>
                    <a:xfrm>
                      <a:off x="0" y="0"/>
                      <a:ext cx="5266690" cy="2016760"/>
                    </a:xfrm>
                    <a:prstGeom prst="rect">
                      <a:avLst/>
                    </a:prstGeom>
                    <a:noFill/>
                    <a:ln>
                      <a:noFill/>
                    </a:ln>
                  </pic:spPr>
                </pic:pic>
              </a:graphicData>
            </a:graphic>
          </wp:inline>
        </w:drawing>
      </w:r>
    </w:p>
    <w:p w14:paraId="373A8275">
      <w:pPr>
        <w:pStyle w:val="4"/>
        <w:bidi w:val="0"/>
        <w:rPr>
          <w:rFonts w:hint="eastAsia" w:ascii="华文仿宋" w:hAnsi="华文仿宋" w:eastAsia="华文仿宋" w:cs="华文仿宋"/>
          <w:lang w:val="en-US" w:eastAsia="zh-CN"/>
        </w:rPr>
      </w:pPr>
      <w:bookmarkStart w:id="25" w:name="_Toc3537"/>
      <w:bookmarkStart w:id="26" w:name="_Toc17290"/>
      <w:r>
        <w:rPr>
          <w:rFonts w:hint="eastAsia" w:ascii="华文仿宋" w:hAnsi="华文仿宋" w:eastAsia="华文仿宋" w:cs="华文仿宋"/>
          <w:lang w:val="en-US" w:eastAsia="zh-CN"/>
        </w:rPr>
        <w:t>第三步：评标办法参数设置</w:t>
      </w:r>
      <w:bookmarkEnd w:id="25"/>
      <w:bookmarkEnd w:id="26"/>
    </w:p>
    <w:p w14:paraId="318798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lang w:val="en-US" w:eastAsia="zh-CN"/>
        </w:rPr>
        <w:t xml:space="preserve">   </w:t>
      </w:r>
      <w:r>
        <w:rPr>
          <w:rFonts w:hint="eastAsia" w:ascii="华文仿宋" w:hAnsi="华文仿宋" w:eastAsia="华文仿宋" w:cs="华文仿宋"/>
          <w:sz w:val="28"/>
          <w:szCs w:val="28"/>
          <w:lang w:val="en-US" w:eastAsia="zh-CN"/>
        </w:rPr>
        <w:t>1、评标时评审专家的评审项。评分项与目录项通过【关联目录】功能进行绑定。</w:t>
      </w:r>
    </w:p>
    <w:p w14:paraId="4D72D1B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3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2、评分项支持设定是否启用、添加自动计算项、分数计算设置操作；评分项编辑完成后在最上面菜单选择“PDF预览”， 可提前预览设定是否正确。</w:t>
      </w:r>
    </w:p>
    <w:p w14:paraId="4CA299E7">
      <w:pPr>
        <w:ind w:left="0" w:leftChars="0" w:firstLine="0" w:firstLineChars="0"/>
        <w:rPr>
          <w:rFonts w:hint="eastAsia" w:ascii="华文仿宋" w:hAnsi="华文仿宋" w:eastAsia="华文仿宋" w:cs="华文仿宋"/>
        </w:rPr>
      </w:pPr>
      <w:r>
        <w:drawing>
          <wp:inline distT="0" distB="0" distL="114300" distR="114300">
            <wp:extent cx="5273040" cy="1670050"/>
            <wp:effectExtent l="0" t="0" r="3810" b="6350"/>
            <wp:docPr id="1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
                    <pic:cNvPicPr>
                      <a:picLocks noChangeAspect="1"/>
                    </pic:cNvPicPr>
                  </pic:nvPicPr>
                  <pic:blipFill>
                    <a:blip r:embed="rId45"/>
                    <a:stretch>
                      <a:fillRect/>
                    </a:stretch>
                  </pic:blipFill>
                  <pic:spPr>
                    <a:xfrm>
                      <a:off x="0" y="0"/>
                      <a:ext cx="5273040" cy="1670050"/>
                    </a:xfrm>
                    <a:prstGeom prst="rect">
                      <a:avLst/>
                    </a:prstGeom>
                    <a:noFill/>
                    <a:ln>
                      <a:noFill/>
                    </a:ln>
                  </pic:spPr>
                </pic:pic>
              </a:graphicData>
            </a:graphic>
          </wp:inline>
        </w:drawing>
      </w:r>
    </w:p>
    <w:p w14:paraId="10D728E0">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color w:val="FF0000"/>
          <w:sz w:val="28"/>
          <w:szCs w:val="28"/>
          <w:lang w:val="en-US" w:eastAsia="zh-CN"/>
        </w:rPr>
        <w:t>关联目录</w:t>
      </w:r>
      <w:r>
        <w:rPr>
          <w:rFonts w:hint="eastAsia" w:ascii="华文仿宋" w:hAnsi="华文仿宋" w:eastAsia="华文仿宋" w:cs="华文仿宋"/>
          <w:sz w:val="28"/>
          <w:szCs w:val="28"/>
          <w:lang w:val="en-US" w:eastAsia="zh-CN"/>
        </w:rPr>
        <w:t>：按照规定，所有评分项</w:t>
      </w:r>
      <w:r>
        <w:rPr>
          <w:rFonts w:hint="eastAsia" w:ascii="华文仿宋" w:hAnsi="华文仿宋" w:eastAsia="华文仿宋" w:cs="华文仿宋"/>
          <w:b/>
          <w:bCs/>
          <w:color w:val="FF0000"/>
          <w:sz w:val="28"/>
          <w:szCs w:val="28"/>
          <w:lang w:val="en-US" w:eastAsia="zh-CN"/>
        </w:rPr>
        <w:t>应该</w:t>
      </w:r>
      <w:r>
        <w:rPr>
          <w:rFonts w:hint="eastAsia" w:ascii="华文仿宋" w:hAnsi="华文仿宋" w:eastAsia="华文仿宋" w:cs="华文仿宋"/>
          <w:sz w:val="28"/>
          <w:szCs w:val="28"/>
          <w:lang w:val="en-US" w:eastAsia="zh-CN"/>
        </w:rPr>
        <w:t>要关联目录项。用户点击【关联目录】按钮，在弹出页面中勾选需要关联的目录项。</w:t>
      </w:r>
    </w:p>
    <w:p w14:paraId="79724752">
      <w:pPr>
        <w:ind w:left="0" w:leftChars="0" w:firstLine="0" w:firstLineChars="0"/>
        <w:rPr>
          <w:rFonts w:hint="eastAsia" w:ascii="华文仿宋" w:hAnsi="华文仿宋" w:eastAsia="华文仿宋" w:cs="华文仿宋"/>
        </w:rPr>
      </w:pPr>
      <w:r>
        <w:drawing>
          <wp:inline distT="0" distB="0" distL="114300" distR="114300">
            <wp:extent cx="5258435" cy="1549400"/>
            <wp:effectExtent l="0" t="0" r="18415" b="12700"/>
            <wp:docPr id="15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0"/>
                    <pic:cNvPicPr>
                      <a:picLocks noChangeAspect="1"/>
                    </pic:cNvPicPr>
                  </pic:nvPicPr>
                  <pic:blipFill>
                    <a:blip r:embed="rId46"/>
                    <a:stretch>
                      <a:fillRect/>
                    </a:stretch>
                  </pic:blipFill>
                  <pic:spPr>
                    <a:xfrm>
                      <a:off x="0" y="0"/>
                      <a:ext cx="5258435" cy="1549400"/>
                    </a:xfrm>
                    <a:prstGeom prst="rect">
                      <a:avLst/>
                    </a:prstGeom>
                    <a:noFill/>
                    <a:ln>
                      <a:noFill/>
                    </a:ln>
                  </pic:spPr>
                </pic:pic>
              </a:graphicData>
            </a:graphic>
          </wp:inline>
        </w:drawing>
      </w:r>
    </w:p>
    <w:p w14:paraId="346F8323">
      <w:pPr>
        <w:ind w:left="0" w:leftChars="0" w:firstLine="0" w:firstLineChars="0"/>
        <w:rPr>
          <w:rFonts w:hint="eastAsia" w:ascii="华文仿宋" w:hAnsi="华文仿宋" w:eastAsia="华文仿宋" w:cs="华文仿宋"/>
        </w:rPr>
      </w:pPr>
    </w:p>
    <w:p w14:paraId="21B9AE6C">
      <w:pPr>
        <w:keepNext w:val="0"/>
        <w:keepLines w:val="0"/>
        <w:pageBreakBefore w:val="0"/>
        <w:widowControl w:val="0"/>
        <w:numPr>
          <w:ilvl w:val="0"/>
          <w:numId w:val="12"/>
        </w:numPr>
        <w:kinsoku/>
        <w:wordWrap/>
        <w:overflowPunct/>
        <w:topLinePunct w:val="0"/>
        <w:autoSpaceDE/>
        <w:autoSpaceDN/>
        <w:bidi w:val="0"/>
        <w:adjustRightInd/>
        <w:snapToGrid/>
        <w:ind w:left="0" w:leftChars="0" w:firstLine="560" w:firstLineChars="200"/>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分数计算设置：针对报价项，招标人（招标代理）可点击【分数计算设置】来查看评标基准价和报价得分辅助计算规则。</w:t>
      </w:r>
      <w:r>
        <w:drawing>
          <wp:inline distT="0" distB="0" distL="114300" distR="114300">
            <wp:extent cx="5274310" cy="678815"/>
            <wp:effectExtent l="0" t="0" r="2540" b="6985"/>
            <wp:docPr id="1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1"/>
                    <pic:cNvPicPr>
                      <a:picLocks noChangeAspect="1"/>
                    </pic:cNvPicPr>
                  </pic:nvPicPr>
                  <pic:blipFill>
                    <a:blip r:embed="rId47"/>
                    <a:stretch>
                      <a:fillRect/>
                    </a:stretch>
                  </pic:blipFill>
                  <pic:spPr>
                    <a:xfrm>
                      <a:off x="0" y="0"/>
                      <a:ext cx="5274310" cy="678815"/>
                    </a:xfrm>
                    <a:prstGeom prst="rect">
                      <a:avLst/>
                    </a:prstGeom>
                    <a:noFill/>
                    <a:ln>
                      <a:noFill/>
                    </a:ln>
                  </pic:spPr>
                </pic:pic>
              </a:graphicData>
            </a:graphic>
          </wp:inline>
        </w:drawing>
      </w:r>
    </w:p>
    <w:p w14:paraId="7020E020">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560" w:firstLine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系统全新融入了</w:t>
      </w:r>
      <w:r>
        <w:rPr>
          <w:rFonts w:hint="eastAsia" w:ascii="华文仿宋" w:hAnsi="华文仿宋" w:eastAsia="华文仿宋" w:cs="华文仿宋"/>
          <w:b/>
          <w:bCs/>
          <w:color w:val="FF0000"/>
          <w:sz w:val="28"/>
          <w:szCs w:val="28"/>
          <w:lang w:val="en-US" w:eastAsia="zh-CN"/>
        </w:rPr>
        <w:t>智能检查</w:t>
      </w:r>
      <w:r>
        <w:rPr>
          <w:rFonts w:hint="eastAsia" w:ascii="华文仿宋" w:hAnsi="华文仿宋" w:eastAsia="华文仿宋" w:cs="华文仿宋"/>
          <w:sz w:val="28"/>
          <w:szCs w:val="28"/>
          <w:lang w:val="en-US" w:eastAsia="zh-CN"/>
        </w:rPr>
        <w:t>机制，确保招标人在精心构建评分项之后，可自主进行查漏补缺的便捷能力，确保每一环节不出问题。</w:t>
      </w:r>
    </w:p>
    <w:p w14:paraId="6BE1CA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（红色：必须解决问题；橙色：提醒）</w:t>
      </w:r>
    </w:p>
    <w:p w14:paraId="0EB080A2">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60975" cy="2320290"/>
            <wp:effectExtent l="0" t="0" r="15875" b="3810"/>
            <wp:docPr id="1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2"/>
                    <pic:cNvPicPr>
                      <a:picLocks noChangeAspect="1"/>
                    </pic:cNvPicPr>
                  </pic:nvPicPr>
                  <pic:blipFill>
                    <a:blip r:embed="rId48"/>
                    <a:stretch>
                      <a:fillRect/>
                    </a:stretch>
                  </pic:blipFill>
                  <pic:spPr>
                    <a:xfrm>
                      <a:off x="0" y="0"/>
                      <a:ext cx="5260975" cy="2320290"/>
                    </a:xfrm>
                    <a:prstGeom prst="rect">
                      <a:avLst/>
                    </a:prstGeom>
                    <a:noFill/>
                    <a:ln>
                      <a:noFill/>
                    </a:ln>
                  </pic:spPr>
                </pic:pic>
              </a:graphicData>
            </a:graphic>
          </wp:inline>
        </w:drawing>
      </w:r>
    </w:p>
    <w:p w14:paraId="6AA77357">
      <w:pPr>
        <w:pStyle w:val="3"/>
        <w:numPr>
          <w:ilvl w:val="1"/>
          <w:numId w:val="0"/>
        </w:numPr>
        <w:bidi w:val="0"/>
        <w:ind w:leftChars="0"/>
        <w:rPr>
          <w:rFonts w:hint="eastAsia" w:ascii="华文仿宋" w:hAnsi="华文仿宋" w:eastAsia="华文仿宋" w:cs="华文仿宋"/>
          <w:lang w:val="en-US" w:eastAsia="zh-CN"/>
        </w:rPr>
      </w:pPr>
      <w:bookmarkStart w:id="27" w:name="_Toc32765"/>
      <w:bookmarkStart w:id="28" w:name="_Toc10813"/>
      <w:r>
        <w:rPr>
          <w:rFonts w:hint="eastAsia" w:ascii="华文仿宋" w:hAnsi="华文仿宋" w:eastAsia="华文仿宋" w:cs="华文仿宋"/>
          <w:lang w:val="en-US" w:eastAsia="zh-CN"/>
        </w:rPr>
        <w:t>（五）编制招标书</w:t>
      </w:r>
      <w:bookmarkEnd w:id="27"/>
      <w:bookmarkEnd w:id="28"/>
    </w:p>
    <w:p w14:paraId="5D81BFE1">
      <w:pPr>
        <w:numPr>
          <w:ilvl w:val="0"/>
          <w:numId w:val="0"/>
        </w:numPr>
        <w:ind w:leftChars="0" w:firstLine="42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招标文件，通用模版预设五大部分章节、施工模版预设八大部分章节，同时系统灵活支持招标代理按需增设章节，实现个性化定制。</w:t>
      </w:r>
    </w:p>
    <w:p w14:paraId="068E19E1">
      <w:pPr>
        <w:numPr>
          <w:ilvl w:val="0"/>
          <w:numId w:val="0"/>
        </w:numPr>
        <w:rPr>
          <w:rFonts w:hint="default" w:ascii="华文仿宋" w:hAnsi="华文仿宋" w:eastAsia="宋体" w:cs="华文仿宋"/>
          <w:lang w:val="en-US" w:eastAsia="zh-CN"/>
        </w:rPr>
      </w:pPr>
      <w:r>
        <w:drawing>
          <wp:inline distT="0" distB="0" distL="114300" distR="114300">
            <wp:extent cx="3143885" cy="2322195"/>
            <wp:effectExtent l="0" t="0" r="18415" b="1905"/>
            <wp:docPr id="1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3"/>
                    <pic:cNvPicPr>
                      <a:picLocks noChangeAspect="1"/>
                    </pic:cNvPicPr>
                  </pic:nvPicPr>
                  <pic:blipFill>
                    <a:blip r:embed="rId49"/>
                    <a:stretch>
                      <a:fillRect/>
                    </a:stretch>
                  </pic:blipFill>
                  <pic:spPr>
                    <a:xfrm>
                      <a:off x="0" y="0"/>
                      <a:ext cx="3143885" cy="2322195"/>
                    </a:xfrm>
                    <a:prstGeom prst="rect">
                      <a:avLst/>
                    </a:prstGeom>
                    <a:noFill/>
                    <a:ln>
                      <a:noFill/>
                    </a:ln>
                  </pic:spPr>
                </pic:pic>
              </a:graphicData>
            </a:graphic>
          </wp:inline>
        </w:drawing>
      </w:r>
      <w:r>
        <w:drawing>
          <wp:inline distT="0" distB="0" distL="114300" distR="114300">
            <wp:extent cx="2806065" cy="2322195"/>
            <wp:effectExtent l="0" t="0" r="13335" b="1905"/>
            <wp:docPr id="1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4"/>
                    <pic:cNvPicPr>
                      <a:picLocks noChangeAspect="1"/>
                    </pic:cNvPicPr>
                  </pic:nvPicPr>
                  <pic:blipFill>
                    <a:blip r:embed="rId50"/>
                    <a:stretch>
                      <a:fillRect/>
                    </a:stretch>
                  </pic:blipFill>
                  <pic:spPr>
                    <a:xfrm>
                      <a:off x="0" y="0"/>
                      <a:ext cx="2806065" cy="2322195"/>
                    </a:xfrm>
                    <a:prstGeom prst="rect">
                      <a:avLst/>
                    </a:prstGeom>
                    <a:noFill/>
                    <a:ln>
                      <a:noFill/>
                    </a:ln>
                  </pic:spPr>
                </pic:pic>
              </a:graphicData>
            </a:graphic>
          </wp:inline>
        </w:drawing>
      </w:r>
      <w:r>
        <w:rPr>
          <w:rFonts w:hint="eastAsia"/>
          <w:lang w:val="en-US" w:eastAsia="zh-CN"/>
        </w:rPr>
        <w:t xml:space="preserve">   </w:t>
      </w:r>
    </w:p>
    <w:p w14:paraId="2B6AB91E">
      <w:pPr>
        <w:numPr>
          <w:ilvl w:val="0"/>
          <w:numId w:val="0"/>
        </w:numPr>
        <w:rPr>
          <w:rFonts w:hint="eastAsia" w:ascii="华文仿宋" w:hAnsi="华文仿宋" w:eastAsia="华文仿宋" w:cs="华文仿宋"/>
        </w:rPr>
      </w:pPr>
    </w:p>
    <w:p w14:paraId="14B54686">
      <w:pPr>
        <w:pStyle w:val="4"/>
        <w:keepNext/>
        <w:keepLines/>
        <w:pageBreakBefore w:val="0"/>
        <w:widowControl w:val="0"/>
        <w:kinsoku/>
        <w:wordWrap/>
        <w:overflowPunct/>
        <w:topLinePunct w:val="0"/>
        <w:autoSpaceDE/>
        <w:autoSpaceDN/>
        <w:bidi w:val="0"/>
        <w:adjustRightInd/>
        <w:snapToGrid/>
        <w:spacing w:before="20" w:after="20" w:line="413" w:lineRule="auto"/>
        <w:textAlignment w:val="auto"/>
        <w:rPr>
          <w:rFonts w:hint="eastAsia" w:ascii="华文仿宋" w:hAnsi="华文仿宋" w:eastAsia="华文仿宋" w:cs="华文仿宋"/>
          <w:lang w:val="en-US" w:eastAsia="zh-CN"/>
        </w:rPr>
      </w:pPr>
      <w:bookmarkStart w:id="29" w:name="_Toc606"/>
      <w:r>
        <w:rPr>
          <w:rFonts w:hint="eastAsia" w:ascii="华文仿宋" w:hAnsi="华文仿宋" w:eastAsia="华文仿宋" w:cs="华文仿宋"/>
          <w:lang w:val="en-US" w:eastAsia="zh-CN"/>
        </w:rPr>
        <w:t>5.1第一部分 招标公告</w:t>
      </w:r>
      <w:bookmarkEnd w:id="29"/>
    </w:p>
    <w:p w14:paraId="6AFCA190">
      <w:pPr>
        <w:rPr>
          <w:rFonts w:hint="eastAsia" w:ascii="华文仿宋" w:hAnsi="华文仿宋" w:eastAsia="华文仿宋" w:cs="华文仿宋"/>
          <w:sz w:val="28"/>
          <w:szCs w:val="28"/>
          <w:lang w:val="en-US" w:eastAsia="zh-CN"/>
        </w:rPr>
      </w:pPr>
      <w:r>
        <w:rPr>
          <w:rFonts w:hint="eastAsia" w:ascii="华文仿宋" w:hAnsi="华文仿宋" w:eastAsia="华文仿宋" w:cs="华文仿宋"/>
          <w:lang w:val="en-US" w:eastAsia="zh-CN"/>
        </w:rPr>
        <w:t xml:space="preserve">    </w:t>
      </w:r>
      <w:r>
        <w:rPr>
          <w:rFonts w:hint="eastAsia" w:ascii="华文仿宋" w:hAnsi="华文仿宋" w:eastAsia="华文仿宋" w:cs="华文仿宋"/>
          <w:sz w:val="28"/>
          <w:szCs w:val="28"/>
          <w:lang w:val="en-US" w:eastAsia="zh-CN"/>
        </w:rPr>
        <w:t>招标公告显示招标代理（招标代理）公告上报时生成的静态页效果，非最终版，公告发布之后会生成最新。</w:t>
      </w:r>
    </w:p>
    <w:p w14:paraId="57DD9E72">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66690" cy="1695450"/>
            <wp:effectExtent l="0" t="0" r="10160" b="0"/>
            <wp:docPr id="8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0"/>
                    <pic:cNvPicPr>
                      <a:picLocks noChangeAspect="1"/>
                    </pic:cNvPicPr>
                  </pic:nvPicPr>
                  <pic:blipFill>
                    <a:blip r:embed="rId51"/>
                    <a:stretch>
                      <a:fillRect/>
                    </a:stretch>
                  </pic:blipFill>
                  <pic:spPr>
                    <a:xfrm>
                      <a:off x="0" y="0"/>
                      <a:ext cx="5266690" cy="1695450"/>
                    </a:xfrm>
                    <a:prstGeom prst="rect">
                      <a:avLst/>
                    </a:prstGeom>
                    <a:noFill/>
                    <a:ln>
                      <a:noFill/>
                    </a:ln>
                  </pic:spPr>
                </pic:pic>
              </a:graphicData>
            </a:graphic>
          </wp:inline>
        </w:drawing>
      </w:r>
    </w:p>
    <w:p w14:paraId="17716276">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华文仿宋" w:hAnsi="华文仿宋" w:eastAsia="华文仿宋" w:cs="华文仿宋"/>
          <w:lang w:val="en-US" w:eastAsia="zh-CN"/>
        </w:rPr>
      </w:pPr>
      <w:bookmarkStart w:id="30" w:name="_Toc12728"/>
      <w:r>
        <w:rPr>
          <w:rFonts w:hint="eastAsia" w:ascii="华文仿宋" w:hAnsi="华文仿宋" w:eastAsia="华文仿宋" w:cs="华文仿宋"/>
          <w:lang w:val="en-US" w:eastAsia="zh-CN"/>
        </w:rPr>
        <w:t>5.2第二部分 投标人须知</w:t>
      </w:r>
      <w:bookmarkEnd w:id="30"/>
    </w:p>
    <w:p w14:paraId="463284A4">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 xml:space="preserve"> </w:t>
      </w:r>
      <w:r>
        <w:rPr>
          <w:rFonts w:hint="eastAsia" w:ascii="华文仿宋" w:hAnsi="华文仿宋" w:eastAsia="华文仿宋" w:cs="华文仿宋"/>
          <w:sz w:val="28"/>
          <w:szCs w:val="28"/>
          <w:lang w:val="en-US" w:eastAsia="zh-CN"/>
        </w:rPr>
        <w:t>第二部分投标人须知分为两块内容：投标人须知前附表和投标人须知正文。</w:t>
      </w:r>
    </w:p>
    <w:p w14:paraId="7288E54C">
      <w:pPr>
        <w:ind w:left="0" w:leftChars="0" w:firstLine="0" w:firstLineChars="0"/>
        <w:rPr>
          <w:rFonts w:hint="eastAsia" w:ascii="华文仿宋" w:hAnsi="华文仿宋" w:eastAsia="华文仿宋" w:cs="华文仿宋"/>
        </w:rPr>
      </w:pPr>
      <w:r>
        <w:drawing>
          <wp:inline distT="0" distB="0" distL="114300" distR="114300">
            <wp:extent cx="5260340" cy="2449830"/>
            <wp:effectExtent l="0" t="0" r="16510" b="7620"/>
            <wp:docPr id="1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5"/>
                    <pic:cNvPicPr>
                      <a:picLocks noChangeAspect="1"/>
                    </pic:cNvPicPr>
                  </pic:nvPicPr>
                  <pic:blipFill>
                    <a:blip r:embed="rId52"/>
                    <a:stretch>
                      <a:fillRect/>
                    </a:stretch>
                  </pic:blipFill>
                  <pic:spPr>
                    <a:xfrm>
                      <a:off x="0" y="0"/>
                      <a:ext cx="5260340" cy="2449830"/>
                    </a:xfrm>
                    <a:prstGeom prst="rect">
                      <a:avLst/>
                    </a:prstGeom>
                    <a:noFill/>
                    <a:ln>
                      <a:noFill/>
                    </a:ln>
                  </pic:spPr>
                </pic:pic>
              </a:graphicData>
            </a:graphic>
          </wp:inline>
        </w:drawing>
      </w:r>
    </w:p>
    <w:p w14:paraId="6F7D3AFE">
      <w:pPr>
        <w:pStyle w:val="5"/>
        <w:keepNext/>
        <w:keepLines/>
        <w:pageBreakBefore w:val="0"/>
        <w:widowControl w:val="0"/>
        <w:numPr>
          <w:ilvl w:val="0"/>
          <w:numId w:val="13"/>
        </w:numPr>
        <w:kinsoku/>
        <w:wordWrap/>
        <w:overflowPunct/>
        <w:topLinePunct w:val="0"/>
        <w:autoSpaceDE/>
        <w:autoSpaceDN/>
        <w:bidi w:val="0"/>
        <w:adjustRightInd/>
        <w:snapToGrid/>
        <w:spacing w:after="5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投标人须知前附表</w:t>
      </w:r>
    </w:p>
    <w:p w14:paraId="44C4E7C6">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华文仿宋" w:hAnsi="华文仿宋" w:eastAsia="华文仿宋" w:cs="华文仿宋"/>
        </w:rPr>
      </w:pPr>
      <w:r>
        <w:rPr>
          <w:rFonts w:hint="eastAsia" w:ascii="华文仿宋" w:hAnsi="华文仿宋" w:eastAsia="华文仿宋" w:cs="华文仿宋"/>
          <w:sz w:val="28"/>
          <w:szCs w:val="28"/>
          <w:lang w:val="en-US" w:eastAsia="zh-CN"/>
        </w:rPr>
        <w:t>支持新增条款、新增子条款、合并条款、删除条款、导出模版、导入模版等操作。</w:t>
      </w:r>
    </w:p>
    <w:p w14:paraId="0E743449">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新增条款：支持选中行上方插入或下方插入，招标人（招标代理）点击【选中行上方插入一行】或【选中行下方插入一行】既可。</w:t>
      </w:r>
    </w:p>
    <w:p w14:paraId="4461E14F">
      <w:pPr>
        <w:ind w:left="0" w:leftChars="0" w:firstLine="0" w:firstLineChars="0"/>
        <w:rPr>
          <w:rFonts w:hint="eastAsia" w:ascii="华文仿宋" w:hAnsi="华文仿宋" w:eastAsia="华文仿宋" w:cs="华文仿宋"/>
        </w:rPr>
      </w:pPr>
      <w:r>
        <w:drawing>
          <wp:inline distT="0" distB="0" distL="114300" distR="114300">
            <wp:extent cx="5273040" cy="2433320"/>
            <wp:effectExtent l="0" t="0" r="3810" b="5080"/>
            <wp:docPr id="1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6"/>
                    <pic:cNvPicPr>
                      <a:picLocks noChangeAspect="1"/>
                    </pic:cNvPicPr>
                  </pic:nvPicPr>
                  <pic:blipFill>
                    <a:blip r:embed="rId53"/>
                    <a:stretch>
                      <a:fillRect/>
                    </a:stretch>
                  </pic:blipFill>
                  <pic:spPr>
                    <a:xfrm>
                      <a:off x="0" y="0"/>
                      <a:ext cx="5273040" cy="2433320"/>
                    </a:xfrm>
                    <a:prstGeom prst="rect">
                      <a:avLst/>
                    </a:prstGeom>
                    <a:noFill/>
                    <a:ln>
                      <a:noFill/>
                    </a:ln>
                  </pic:spPr>
                </pic:pic>
              </a:graphicData>
            </a:graphic>
          </wp:inline>
        </w:drawing>
      </w:r>
    </w:p>
    <w:p w14:paraId="1A5E637D">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rPr>
      </w:pPr>
      <w:r>
        <w:rPr>
          <w:rFonts w:hint="eastAsia" w:ascii="华文仿宋" w:hAnsi="华文仿宋" w:eastAsia="华文仿宋" w:cs="华文仿宋"/>
          <w:sz w:val="28"/>
          <w:szCs w:val="28"/>
          <w:lang w:val="en-US" w:eastAsia="zh-CN"/>
        </w:rPr>
        <w:t>新增子条款：选中要添加子项的条款，点击【选中行添加子项】按钮，既可添加子项。</w:t>
      </w:r>
    </w:p>
    <w:p w14:paraId="13933B56">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rPr>
      </w:pPr>
      <w:r>
        <w:rPr>
          <w:rFonts w:hint="eastAsia" w:ascii="华文仿宋" w:hAnsi="华文仿宋" w:eastAsia="华文仿宋" w:cs="华文仿宋"/>
          <w:sz w:val="28"/>
          <w:szCs w:val="28"/>
          <w:lang w:val="en-US" w:eastAsia="zh-CN"/>
        </w:rPr>
        <w:t>合并条款：选中要合并的条款，点击【合并选中行单元格】按钮，既可合并条款内容。</w:t>
      </w:r>
    </w:p>
    <w:p w14:paraId="4C10D983">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删除条款：选中条款，点击【删除】按钮，既可删除条款。</w:t>
      </w:r>
    </w:p>
    <w:p w14:paraId="2A52AF46">
      <w:pPr>
        <w:ind w:left="0" w:leftChars="0" w:firstLine="0" w:firstLineChars="0"/>
        <w:rPr>
          <w:rFonts w:hint="eastAsia" w:ascii="华文仿宋" w:hAnsi="华文仿宋" w:eastAsia="华文仿宋" w:cs="华文仿宋"/>
        </w:rPr>
      </w:pPr>
      <w:r>
        <w:drawing>
          <wp:inline distT="0" distB="0" distL="114300" distR="114300">
            <wp:extent cx="5273040" cy="2143125"/>
            <wp:effectExtent l="0" t="0" r="3810" b="9525"/>
            <wp:docPr id="1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7"/>
                    <pic:cNvPicPr>
                      <a:picLocks noChangeAspect="1"/>
                    </pic:cNvPicPr>
                  </pic:nvPicPr>
                  <pic:blipFill>
                    <a:blip r:embed="rId54"/>
                    <a:stretch>
                      <a:fillRect/>
                    </a:stretch>
                  </pic:blipFill>
                  <pic:spPr>
                    <a:xfrm>
                      <a:off x="0" y="0"/>
                      <a:ext cx="5273040" cy="2143125"/>
                    </a:xfrm>
                    <a:prstGeom prst="rect">
                      <a:avLst/>
                    </a:prstGeom>
                    <a:noFill/>
                    <a:ln>
                      <a:noFill/>
                    </a:ln>
                  </pic:spPr>
                </pic:pic>
              </a:graphicData>
            </a:graphic>
          </wp:inline>
        </w:drawing>
      </w:r>
    </w:p>
    <w:p w14:paraId="3B9B3606">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保存、生成文件：投标人须知前附表编辑完成后，一定要记得点击保存按钮，保存后点击生成文件既可生成PDF版前附表。</w:t>
      </w:r>
    </w:p>
    <w:p w14:paraId="1926D5FF">
      <w:pPr>
        <w:ind w:left="0" w:leftChars="0" w:firstLine="0" w:firstLineChars="0"/>
        <w:rPr>
          <w:rFonts w:hint="eastAsia" w:ascii="华文仿宋" w:hAnsi="华文仿宋" w:eastAsia="华文仿宋" w:cs="华文仿宋"/>
        </w:rPr>
      </w:pPr>
      <w:r>
        <w:drawing>
          <wp:inline distT="0" distB="0" distL="114300" distR="114300">
            <wp:extent cx="5271135" cy="2019300"/>
            <wp:effectExtent l="0" t="0" r="5715" b="0"/>
            <wp:docPr id="9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3"/>
                    <pic:cNvPicPr>
                      <a:picLocks noChangeAspect="1"/>
                    </pic:cNvPicPr>
                  </pic:nvPicPr>
                  <pic:blipFill>
                    <a:blip r:embed="rId55"/>
                    <a:stretch>
                      <a:fillRect/>
                    </a:stretch>
                  </pic:blipFill>
                  <pic:spPr>
                    <a:xfrm>
                      <a:off x="0" y="0"/>
                      <a:ext cx="5271135" cy="2019300"/>
                    </a:xfrm>
                    <a:prstGeom prst="rect">
                      <a:avLst/>
                    </a:prstGeom>
                    <a:noFill/>
                    <a:ln>
                      <a:noFill/>
                    </a:ln>
                  </pic:spPr>
                </pic:pic>
              </a:graphicData>
            </a:graphic>
          </wp:inline>
        </w:drawing>
      </w:r>
    </w:p>
    <w:p w14:paraId="32320D75">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rPr>
      </w:pPr>
      <w:r>
        <w:rPr>
          <w:rFonts w:hint="eastAsia" w:ascii="华文仿宋" w:hAnsi="华文仿宋" w:eastAsia="华文仿宋" w:cs="华文仿宋"/>
          <w:sz w:val="28"/>
          <w:szCs w:val="28"/>
          <w:lang w:val="en-US" w:eastAsia="zh-CN"/>
        </w:rPr>
        <w:t>查看PDF：招标人（招标代理）可点击【查看PDF】按钮，查看核对生成的前附表是否正确。</w:t>
      </w:r>
    </w:p>
    <w:p w14:paraId="597E011A">
      <w:pPr>
        <w:keepNext w:val="0"/>
        <w:keepLines w:val="0"/>
        <w:pageBreakBefore w:val="0"/>
        <w:widowControl w:val="0"/>
        <w:numPr>
          <w:ilvl w:val="0"/>
          <w:numId w:val="14"/>
        </w:numPr>
        <w:kinsoku/>
        <w:wordWrap/>
        <w:overflowPunct/>
        <w:topLinePunct w:val="0"/>
        <w:autoSpaceDE/>
        <w:autoSpaceDN/>
        <w:bidi w:val="0"/>
        <w:adjustRightInd/>
        <w:snapToGrid/>
        <w:ind w:left="420" w:leftChars="0" w:hanging="420" w:firstLine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导出、导入:为方便招标人（招标代理）制作的【投标人须知前附表】能在多个项目使用，增加【投标人须知前附表】导出/导入功能，在通用模板固定内容未进行版本升级的情况下，可一直使用。 点击投标人须知前附表右上角的导出功能，选择导出模板的保存位置。</w:t>
      </w:r>
    </w:p>
    <w:p w14:paraId="3E1AAB1F">
      <w:pPr>
        <w:ind w:left="0" w:leftChars="0" w:firstLine="0" w:firstLineChars="0"/>
        <w:rPr>
          <w:rFonts w:hint="eastAsia" w:ascii="华文仿宋" w:hAnsi="华文仿宋" w:eastAsia="华文仿宋" w:cs="华文仿宋"/>
        </w:rPr>
      </w:pPr>
      <w:r>
        <w:drawing>
          <wp:inline distT="0" distB="0" distL="114300" distR="114300">
            <wp:extent cx="5269230" cy="1780540"/>
            <wp:effectExtent l="0" t="0" r="7620" b="10160"/>
            <wp:docPr id="9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4"/>
                    <pic:cNvPicPr>
                      <a:picLocks noChangeAspect="1"/>
                    </pic:cNvPicPr>
                  </pic:nvPicPr>
                  <pic:blipFill>
                    <a:blip r:embed="rId56"/>
                    <a:stretch>
                      <a:fillRect/>
                    </a:stretch>
                  </pic:blipFill>
                  <pic:spPr>
                    <a:xfrm>
                      <a:off x="0" y="0"/>
                      <a:ext cx="5269230" cy="1780540"/>
                    </a:xfrm>
                    <a:prstGeom prst="rect">
                      <a:avLst/>
                    </a:prstGeom>
                    <a:noFill/>
                    <a:ln>
                      <a:noFill/>
                    </a:ln>
                  </pic:spPr>
                </pic:pic>
              </a:graphicData>
            </a:graphic>
          </wp:inline>
        </w:drawing>
      </w:r>
    </w:p>
    <w:p w14:paraId="04D35C2C">
      <w:pPr>
        <w:pStyle w:val="5"/>
        <w:keepNext/>
        <w:keepLines/>
        <w:pageBreakBefore w:val="0"/>
        <w:widowControl w:val="0"/>
        <w:numPr>
          <w:ilvl w:val="0"/>
          <w:numId w:val="13"/>
        </w:numPr>
        <w:kinsoku/>
        <w:wordWrap/>
        <w:overflowPunct/>
        <w:topLinePunct w:val="0"/>
        <w:autoSpaceDE/>
        <w:autoSpaceDN/>
        <w:bidi w:val="0"/>
        <w:adjustRightInd/>
        <w:snapToGrid/>
        <w:spacing w:after="5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投标人须知正文</w:t>
      </w:r>
    </w:p>
    <w:p w14:paraId="068C5025">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jc w:val="left"/>
        <w:textAlignment w:val="auto"/>
        <w:rPr>
          <w:rFonts w:hint="default" w:ascii="华文仿宋" w:hAnsi="华文仿宋" w:eastAsia="华文仿宋" w:cs="华文仿宋"/>
          <w:sz w:val="28"/>
          <w:szCs w:val="28"/>
          <w:lang w:val="en-US" w:eastAsia="zh-CN"/>
        </w:rPr>
      </w:pPr>
      <w:r>
        <w:rPr>
          <w:rFonts w:hint="default" w:ascii="华文仿宋" w:hAnsi="华文仿宋" w:eastAsia="华文仿宋" w:cs="华文仿宋"/>
          <w:sz w:val="28"/>
          <w:szCs w:val="28"/>
          <w:lang w:val="en-US" w:eastAsia="zh-CN"/>
        </w:rPr>
        <w:t>投标人须知正文，系统</w:t>
      </w:r>
      <w:r>
        <w:rPr>
          <w:rFonts w:hint="eastAsia" w:ascii="华文仿宋" w:hAnsi="华文仿宋" w:eastAsia="华文仿宋" w:cs="华文仿宋"/>
          <w:sz w:val="28"/>
          <w:szCs w:val="28"/>
          <w:lang w:val="en-US" w:eastAsia="zh-CN"/>
        </w:rPr>
        <w:t>提供</w:t>
      </w:r>
      <w:r>
        <w:rPr>
          <w:rFonts w:hint="default" w:ascii="华文仿宋" w:hAnsi="华文仿宋" w:eastAsia="华文仿宋" w:cs="华文仿宋"/>
          <w:sz w:val="28"/>
          <w:szCs w:val="28"/>
          <w:lang w:val="en-US" w:eastAsia="zh-CN"/>
        </w:rPr>
        <w:t>模版</w:t>
      </w:r>
      <w:r>
        <w:rPr>
          <w:rFonts w:hint="eastAsia" w:ascii="华文仿宋" w:hAnsi="华文仿宋" w:eastAsia="华文仿宋" w:cs="华文仿宋"/>
          <w:sz w:val="28"/>
          <w:szCs w:val="28"/>
          <w:lang w:val="en-US" w:eastAsia="zh-CN"/>
        </w:rPr>
        <w:t>供代理进行选择</w:t>
      </w:r>
      <w:r>
        <w:rPr>
          <w:rFonts w:hint="default" w:ascii="华文仿宋" w:hAnsi="华文仿宋" w:eastAsia="华文仿宋" w:cs="华文仿宋"/>
          <w:sz w:val="28"/>
          <w:szCs w:val="28"/>
          <w:lang w:val="en-US" w:eastAsia="zh-CN"/>
        </w:rPr>
        <w:t>。</w:t>
      </w:r>
    </w:p>
    <w:p w14:paraId="7B486C90">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Arial" w:hAnsi="Arial" w:eastAsia="宋体" w:cstheme="minorBidi"/>
          <w:b w:val="0"/>
          <w:bCs w:val="0"/>
          <w:kern w:val="2"/>
          <w:sz w:val="24"/>
          <w:szCs w:val="24"/>
          <w:lang w:val="en-US" w:eastAsia="zh-CN" w:bidi="ar-SA"/>
        </w:rPr>
      </w:pPr>
      <w:r>
        <w:drawing>
          <wp:inline distT="0" distB="0" distL="114300" distR="114300">
            <wp:extent cx="5271770" cy="1497965"/>
            <wp:effectExtent l="0" t="0" r="5080" b="6985"/>
            <wp:docPr id="1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8"/>
                    <pic:cNvPicPr>
                      <a:picLocks noChangeAspect="1"/>
                    </pic:cNvPicPr>
                  </pic:nvPicPr>
                  <pic:blipFill>
                    <a:blip r:embed="rId57"/>
                    <a:stretch>
                      <a:fillRect/>
                    </a:stretch>
                  </pic:blipFill>
                  <pic:spPr>
                    <a:xfrm>
                      <a:off x="0" y="0"/>
                      <a:ext cx="5271770" cy="1497965"/>
                    </a:xfrm>
                    <a:prstGeom prst="rect">
                      <a:avLst/>
                    </a:prstGeom>
                    <a:noFill/>
                    <a:ln>
                      <a:noFill/>
                    </a:ln>
                  </pic:spPr>
                </pic:pic>
              </a:graphicData>
            </a:graphic>
          </wp:inline>
        </w:drawing>
      </w:r>
    </w:p>
    <w:p w14:paraId="1C5575B1">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left"/>
        <w:textAlignment w:val="auto"/>
        <w:rPr>
          <w:rFonts w:hint="eastAsia" w:ascii="Arial" w:hAnsi="Arial" w:eastAsia="宋体" w:cstheme="minorBidi"/>
          <w:b w:val="0"/>
          <w:bCs w:val="0"/>
          <w:kern w:val="2"/>
          <w:sz w:val="24"/>
          <w:szCs w:val="24"/>
          <w:lang w:val="en-US" w:eastAsia="zh-CN" w:bidi="ar-SA"/>
        </w:rPr>
      </w:pPr>
      <w:r>
        <w:rPr>
          <w:rFonts w:hint="eastAsia" w:ascii="Arial" w:hAnsi="Arial" w:eastAsia="宋体" w:cstheme="minorBidi"/>
          <w:b w:val="0"/>
          <w:bCs w:val="0"/>
          <w:kern w:val="2"/>
          <w:sz w:val="24"/>
          <w:szCs w:val="24"/>
          <w:lang w:val="en-US" w:eastAsia="zh-CN" w:bidi="ar-SA"/>
        </w:rPr>
        <w:t>注意：前附表内容要与正文保持一致。</w:t>
      </w:r>
    </w:p>
    <w:p w14:paraId="4EE0706C">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华文仿宋" w:hAnsi="华文仿宋" w:eastAsia="华文仿宋" w:cs="华文仿宋"/>
          <w:lang w:val="en-US" w:eastAsia="zh-CN"/>
        </w:rPr>
      </w:pPr>
      <w:bookmarkStart w:id="31" w:name="_Toc10020"/>
      <w:r>
        <w:rPr>
          <w:rFonts w:hint="eastAsia" w:ascii="华文仿宋" w:hAnsi="华文仿宋" w:eastAsia="华文仿宋" w:cs="华文仿宋"/>
          <w:lang w:val="en-US" w:eastAsia="zh-CN"/>
        </w:rPr>
        <w:t>5.3第三部分 评标办法</w:t>
      </w:r>
      <w:bookmarkEnd w:id="31"/>
    </w:p>
    <w:p w14:paraId="09041FF9">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由评标办法细则、项目管理班子人员配置表和评标办法前附表三部分组成。评标办法细则由评标办法正文模版和用户自定义上传文件组成；项目管理班子人员配置表由用户自定义上传；评标办法前附表通过【评标办法文件】提取内容可直接生成文件，招标人需认真检查，若发现问题及时调整。</w:t>
      </w:r>
    </w:p>
    <w:p w14:paraId="4F6FEBEF">
      <w:pPr>
        <w:ind w:left="0" w:leftChars="0" w:firstLine="0" w:firstLineChars="0"/>
        <w:rPr>
          <w:rFonts w:hint="default"/>
          <w:lang w:val="en-US" w:eastAsia="zh-CN"/>
        </w:rPr>
      </w:pPr>
      <w:r>
        <w:drawing>
          <wp:inline distT="0" distB="0" distL="114300" distR="114300">
            <wp:extent cx="5257800" cy="2510790"/>
            <wp:effectExtent l="0" t="0" r="0" b="3810"/>
            <wp:docPr id="1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9"/>
                    <pic:cNvPicPr>
                      <a:picLocks noChangeAspect="1"/>
                    </pic:cNvPicPr>
                  </pic:nvPicPr>
                  <pic:blipFill>
                    <a:blip r:embed="rId58"/>
                    <a:stretch>
                      <a:fillRect/>
                    </a:stretch>
                  </pic:blipFill>
                  <pic:spPr>
                    <a:xfrm>
                      <a:off x="0" y="0"/>
                      <a:ext cx="5257800" cy="2510790"/>
                    </a:xfrm>
                    <a:prstGeom prst="rect">
                      <a:avLst/>
                    </a:prstGeom>
                    <a:noFill/>
                    <a:ln>
                      <a:noFill/>
                    </a:ln>
                  </pic:spPr>
                </pic:pic>
              </a:graphicData>
            </a:graphic>
          </wp:inline>
        </w:drawing>
      </w:r>
    </w:p>
    <w:p w14:paraId="36661B94">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华文仿宋" w:hAnsi="华文仿宋" w:eastAsia="华文仿宋" w:cs="华文仿宋"/>
          <w:lang w:val="en-US" w:eastAsia="zh-CN"/>
        </w:rPr>
      </w:pPr>
      <w:bookmarkStart w:id="32" w:name="_Toc1956"/>
      <w:r>
        <w:rPr>
          <w:rFonts w:hint="eastAsia" w:ascii="华文仿宋" w:hAnsi="华文仿宋" w:eastAsia="华文仿宋" w:cs="华文仿宋"/>
          <w:lang w:val="en-US" w:eastAsia="zh-CN"/>
        </w:rPr>
        <w:t>5.4第四部分 合同条款及格式</w:t>
      </w:r>
      <w:bookmarkEnd w:id="32"/>
    </w:p>
    <w:p w14:paraId="71E20962">
      <w:pPr>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合同条款中主要合同条款部分内容由招标人自行制定内容。其余由合同模版固定。</w:t>
      </w:r>
    </w:p>
    <w:p w14:paraId="633D2B82">
      <w:pPr>
        <w:rPr>
          <w:rFonts w:hint="default" w:ascii="华文仿宋" w:hAnsi="华文仿宋" w:eastAsia="华文仿宋" w:cs="华文仿宋"/>
          <w:sz w:val="28"/>
          <w:szCs w:val="28"/>
          <w:lang w:val="en-US" w:eastAsia="zh-CN"/>
        </w:rPr>
      </w:pPr>
      <w:r>
        <w:drawing>
          <wp:inline distT="0" distB="0" distL="114300" distR="114300">
            <wp:extent cx="5259070" cy="2001520"/>
            <wp:effectExtent l="0" t="0" r="17780" b="17780"/>
            <wp:docPr id="1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0"/>
                    <pic:cNvPicPr>
                      <a:picLocks noChangeAspect="1"/>
                    </pic:cNvPicPr>
                  </pic:nvPicPr>
                  <pic:blipFill>
                    <a:blip r:embed="rId59"/>
                    <a:stretch>
                      <a:fillRect/>
                    </a:stretch>
                  </pic:blipFill>
                  <pic:spPr>
                    <a:xfrm>
                      <a:off x="0" y="0"/>
                      <a:ext cx="5259070" cy="2001520"/>
                    </a:xfrm>
                    <a:prstGeom prst="rect">
                      <a:avLst/>
                    </a:prstGeom>
                    <a:noFill/>
                    <a:ln>
                      <a:noFill/>
                    </a:ln>
                  </pic:spPr>
                </pic:pic>
              </a:graphicData>
            </a:graphic>
          </wp:inline>
        </w:drawing>
      </w:r>
    </w:p>
    <w:p w14:paraId="0E667F86">
      <w:pPr>
        <w:ind w:left="0" w:leftChars="0" w:firstLine="0" w:firstLineChars="0"/>
        <w:rPr>
          <w:b/>
          <w:bCs/>
        </w:rPr>
      </w:pPr>
    </w:p>
    <w:p w14:paraId="34AADE4D">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default" w:ascii="华文仿宋" w:hAnsi="华文仿宋" w:eastAsia="华文仿宋" w:cs="华文仿宋"/>
          <w:lang w:val="en-US" w:eastAsia="zh-CN"/>
        </w:rPr>
      </w:pPr>
      <w:bookmarkStart w:id="33" w:name="_Toc582"/>
      <w:r>
        <w:rPr>
          <w:rFonts w:hint="eastAsia" w:ascii="华文仿宋" w:hAnsi="华文仿宋" w:eastAsia="华文仿宋" w:cs="华文仿宋"/>
          <w:lang w:val="en-US" w:eastAsia="zh-CN"/>
        </w:rPr>
        <w:t>5.5第五部分 工程量清单</w:t>
      </w:r>
      <w:bookmarkEnd w:id="33"/>
    </w:p>
    <w:p w14:paraId="12BC6DE9">
      <w:pPr>
        <w:ind w:left="0" w:leftChars="0" w:firstLine="560" w:firstLineChars="200"/>
        <w:rPr>
          <w:rFonts w:hint="default"/>
          <w:lang w:val="en-US" w:eastAsia="zh-CN"/>
        </w:rPr>
      </w:pPr>
      <w:r>
        <w:rPr>
          <w:rFonts w:hint="eastAsia" w:ascii="华文仿宋" w:hAnsi="华文仿宋" w:eastAsia="华文仿宋" w:cs="华文仿宋"/>
          <w:sz w:val="28"/>
          <w:szCs w:val="28"/>
          <w:lang w:val="en-US" w:eastAsia="zh-CN"/>
        </w:rPr>
        <w:t>由工程量清单、暂列金额、规费取费标准、材料暂估价一览表四部分组成。暂列金额、规费取费标准、材料暂估价一览表由用户自定义上传；工程量清单通过【工程量清单】提取内容可直接生成文件，招标人需认真检查，若发现问题及时调整</w:t>
      </w:r>
      <w:r>
        <w:rPr>
          <w:rFonts w:hint="eastAsia" w:ascii="Arial" w:hAnsi="Arial" w:eastAsia="宋体" w:cstheme="minorBidi"/>
          <w:b w:val="0"/>
          <w:bCs w:val="0"/>
          <w:kern w:val="2"/>
          <w:sz w:val="21"/>
          <w:szCs w:val="21"/>
          <w:lang w:val="en-US" w:eastAsia="zh-CN" w:bidi="ar-SA"/>
        </w:rPr>
        <w:t>。</w:t>
      </w:r>
    </w:p>
    <w:p w14:paraId="6C5AAAE6">
      <w:pPr>
        <w:ind w:left="0" w:leftChars="0" w:firstLine="0" w:firstLineChars="0"/>
      </w:pPr>
      <w:r>
        <w:drawing>
          <wp:inline distT="0" distB="0" distL="114300" distR="114300">
            <wp:extent cx="5256530" cy="2469515"/>
            <wp:effectExtent l="0" t="0" r="1270" b="6985"/>
            <wp:docPr id="17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1"/>
                    <pic:cNvPicPr>
                      <a:picLocks noChangeAspect="1"/>
                    </pic:cNvPicPr>
                  </pic:nvPicPr>
                  <pic:blipFill>
                    <a:blip r:embed="rId60"/>
                    <a:stretch>
                      <a:fillRect/>
                    </a:stretch>
                  </pic:blipFill>
                  <pic:spPr>
                    <a:xfrm>
                      <a:off x="0" y="0"/>
                      <a:ext cx="5256530" cy="2469515"/>
                    </a:xfrm>
                    <a:prstGeom prst="rect">
                      <a:avLst/>
                    </a:prstGeom>
                    <a:noFill/>
                    <a:ln>
                      <a:noFill/>
                    </a:ln>
                  </pic:spPr>
                </pic:pic>
              </a:graphicData>
            </a:graphic>
          </wp:inline>
        </w:drawing>
      </w:r>
    </w:p>
    <w:p w14:paraId="5FDA5D32">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华文仿宋" w:hAnsi="华文仿宋" w:eastAsia="华文仿宋" w:cs="华文仿宋"/>
          <w:lang w:val="en-US" w:eastAsia="zh-CN"/>
        </w:rPr>
      </w:pPr>
      <w:bookmarkStart w:id="34" w:name="_Toc25260"/>
      <w:r>
        <w:rPr>
          <w:rFonts w:hint="eastAsia" w:ascii="华文仿宋" w:hAnsi="华文仿宋" w:eastAsia="华文仿宋" w:cs="华文仿宋"/>
          <w:lang w:val="en-US" w:eastAsia="zh-CN"/>
        </w:rPr>
        <w:t>5.6第六部分 图纸</w:t>
      </w:r>
      <w:bookmarkEnd w:id="34"/>
    </w:p>
    <w:p w14:paraId="514BA6D7">
      <w:pPr>
        <w:ind w:left="0" w:leftChars="0" w:firstLine="560" w:firstLineChars="20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由招标人自定义上传文件。</w:t>
      </w:r>
    </w:p>
    <w:p w14:paraId="2BC2D94A">
      <w:pPr>
        <w:ind w:left="0" w:leftChars="0" w:firstLine="420" w:firstLineChars="200"/>
      </w:pPr>
      <w:r>
        <w:drawing>
          <wp:inline distT="0" distB="0" distL="114300" distR="114300">
            <wp:extent cx="5264150" cy="1771650"/>
            <wp:effectExtent l="0" t="0" r="12700" b="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61"/>
                    <a:stretch>
                      <a:fillRect/>
                    </a:stretch>
                  </pic:blipFill>
                  <pic:spPr>
                    <a:xfrm>
                      <a:off x="0" y="0"/>
                      <a:ext cx="5264150" cy="1771650"/>
                    </a:xfrm>
                    <a:prstGeom prst="rect">
                      <a:avLst/>
                    </a:prstGeom>
                    <a:noFill/>
                    <a:ln>
                      <a:noFill/>
                    </a:ln>
                  </pic:spPr>
                </pic:pic>
              </a:graphicData>
            </a:graphic>
          </wp:inline>
        </w:drawing>
      </w:r>
    </w:p>
    <w:p w14:paraId="26C8FC58">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华文仿宋" w:hAnsi="华文仿宋" w:eastAsia="华文仿宋" w:cs="华文仿宋"/>
          <w:lang w:val="en-US" w:eastAsia="zh-CN"/>
        </w:rPr>
      </w:pPr>
      <w:bookmarkStart w:id="35" w:name="_Toc8838"/>
      <w:r>
        <w:rPr>
          <w:rFonts w:hint="eastAsia" w:ascii="华文仿宋" w:hAnsi="华文仿宋" w:eastAsia="华文仿宋" w:cs="华文仿宋"/>
          <w:lang w:val="en-US" w:eastAsia="zh-CN"/>
        </w:rPr>
        <w:t>5.7第七部分 技术标准和要求</w:t>
      </w:r>
      <w:bookmarkEnd w:id="35"/>
    </w:p>
    <w:p w14:paraId="330A5B45">
      <w:pPr>
        <w:ind w:left="0" w:leftChars="0" w:firstLine="560" w:firstLineChars="20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由招标人自定义上传文件。</w:t>
      </w:r>
    </w:p>
    <w:p w14:paraId="177C455A">
      <w:pPr>
        <w:ind w:left="0" w:leftChars="0" w:firstLine="420" w:firstLineChars="200"/>
        <w:rPr>
          <w:rFonts w:hint="eastAsia"/>
          <w:lang w:val="en-US" w:eastAsia="zh-CN"/>
        </w:rPr>
      </w:pPr>
      <w:r>
        <w:drawing>
          <wp:inline distT="0" distB="0" distL="114300" distR="114300">
            <wp:extent cx="5263515" cy="1937385"/>
            <wp:effectExtent l="0" t="0" r="13335" b="5715"/>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62"/>
                    <a:stretch>
                      <a:fillRect/>
                    </a:stretch>
                  </pic:blipFill>
                  <pic:spPr>
                    <a:xfrm>
                      <a:off x="0" y="0"/>
                      <a:ext cx="5263515" cy="1937385"/>
                    </a:xfrm>
                    <a:prstGeom prst="rect">
                      <a:avLst/>
                    </a:prstGeom>
                    <a:noFill/>
                    <a:ln>
                      <a:noFill/>
                    </a:ln>
                  </pic:spPr>
                </pic:pic>
              </a:graphicData>
            </a:graphic>
          </wp:inline>
        </w:drawing>
      </w:r>
    </w:p>
    <w:p w14:paraId="75B3AD45">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Arial" w:hAnsi="Arial" w:eastAsia="宋体" w:cstheme="minorBidi"/>
          <w:b w:val="0"/>
          <w:bCs w:val="0"/>
          <w:kern w:val="2"/>
          <w:sz w:val="21"/>
          <w:szCs w:val="21"/>
          <w:lang w:val="en-US" w:eastAsia="zh-CN" w:bidi="ar-SA"/>
        </w:rPr>
      </w:pPr>
      <w:bookmarkStart w:id="36" w:name="_Toc2563"/>
      <w:r>
        <w:rPr>
          <w:rFonts w:hint="eastAsia" w:ascii="华文仿宋" w:hAnsi="华文仿宋" w:eastAsia="华文仿宋" w:cs="华文仿宋"/>
          <w:lang w:val="en-US" w:eastAsia="zh-CN"/>
        </w:rPr>
        <w:t>5.</w:t>
      </w:r>
      <w:bookmarkStart w:id="37" w:name="_Toc13738"/>
      <w:r>
        <w:rPr>
          <w:rFonts w:hint="eastAsia" w:ascii="华文仿宋" w:hAnsi="华文仿宋" w:eastAsia="华文仿宋" w:cs="华文仿宋"/>
          <w:lang w:val="en-US" w:eastAsia="zh-CN"/>
        </w:rPr>
        <w:t>8第*章：自行增加新章节</w:t>
      </w:r>
      <w:bookmarkEnd w:id="36"/>
      <w:bookmarkEnd w:id="37"/>
      <w:r>
        <w:rPr>
          <w:rFonts w:hint="eastAsia" w:ascii="Arial" w:hAnsi="Arial" w:eastAsia="宋体" w:cstheme="minorBidi"/>
          <w:b w:val="0"/>
          <w:bCs w:val="0"/>
          <w:kern w:val="2"/>
          <w:sz w:val="21"/>
          <w:szCs w:val="21"/>
          <w:lang w:val="en-US" w:eastAsia="zh-CN" w:bidi="ar-SA"/>
        </w:rPr>
        <w:t xml:space="preserve"> </w:t>
      </w:r>
    </w:p>
    <w:p w14:paraId="083AAE5F">
      <w:pPr>
        <w:keepNext w:val="0"/>
        <w:keepLines w:val="0"/>
        <w:pageBreakBefore w:val="0"/>
        <w:widowControl w:val="0"/>
        <w:kinsoku/>
        <w:wordWrap/>
        <w:overflowPunct/>
        <w:topLinePunct w:val="0"/>
        <w:autoSpaceDE/>
        <w:autoSpaceDN/>
        <w:bidi w:val="0"/>
        <w:adjustRightInd/>
        <w:snapToGrid/>
        <w:ind w:left="0" w:leftChars="0" w:firstLine="560" w:firstLineChars="200"/>
        <w:textAlignment w:val="auto"/>
        <w:rPr>
          <w:rFonts w:hint="eastAsia" w:ascii="华文仿宋" w:hAnsi="华文仿宋" w:eastAsia="华文仿宋" w:cs="华文仿宋"/>
          <w:sz w:val="28"/>
          <w:szCs w:val="28"/>
          <w:lang w:val="en-US" w:eastAsia="zh-CN"/>
        </w:rPr>
      </w:pPr>
      <w:r>
        <w:rPr>
          <w:rFonts w:hint="default" w:ascii="华文仿宋" w:hAnsi="华文仿宋" w:eastAsia="华文仿宋" w:cs="华文仿宋"/>
          <w:sz w:val="28"/>
          <w:szCs w:val="28"/>
          <w:lang w:val="en-US" w:eastAsia="zh-CN"/>
        </w:rPr>
        <w:t>系统灵活支持招标</w:t>
      </w:r>
      <w:r>
        <w:rPr>
          <w:rFonts w:hint="eastAsia" w:ascii="华文仿宋" w:hAnsi="华文仿宋" w:eastAsia="华文仿宋" w:cs="华文仿宋"/>
          <w:sz w:val="28"/>
          <w:szCs w:val="28"/>
          <w:lang w:val="en-US" w:eastAsia="zh-CN"/>
        </w:rPr>
        <w:t>代理</w:t>
      </w:r>
      <w:r>
        <w:rPr>
          <w:rFonts w:hint="default" w:ascii="华文仿宋" w:hAnsi="华文仿宋" w:eastAsia="华文仿宋" w:cs="华文仿宋"/>
          <w:sz w:val="28"/>
          <w:szCs w:val="28"/>
          <w:lang w:val="en-US" w:eastAsia="zh-CN"/>
        </w:rPr>
        <w:t>按需增设章节，实现个性化定制</w:t>
      </w:r>
      <w:r>
        <w:rPr>
          <w:rFonts w:hint="eastAsia" w:ascii="华文仿宋" w:hAnsi="华文仿宋" w:eastAsia="华文仿宋" w:cs="华文仿宋"/>
          <w:sz w:val="28"/>
          <w:szCs w:val="28"/>
          <w:lang w:val="en-US" w:eastAsia="zh-CN"/>
        </w:rPr>
        <w:t>。</w:t>
      </w:r>
    </w:p>
    <w:p w14:paraId="636413A7">
      <w:pPr>
        <w:keepNext w:val="0"/>
        <w:keepLines w:val="0"/>
        <w:pageBreakBefore w:val="0"/>
        <w:widowControl w:val="0"/>
        <w:kinsoku/>
        <w:wordWrap/>
        <w:overflowPunct/>
        <w:topLinePunct w:val="0"/>
        <w:autoSpaceDE/>
        <w:autoSpaceDN/>
        <w:bidi w:val="0"/>
        <w:adjustRightInd/>
        <w:snapToGrid/>
        <w:ind w:left="0" w:leftChars="0" w:firstLine="560" w:firstLineChars="200"/>
        <w:textAlignment w:val="auto"/>
        <w:rPr>
          <w:rFonts w:hint="default"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1、招标代理可点击【新增】按钮，录入章节序号（请填写阿拉伯数字，系统会自动转换成汉字）和章节名称，录入成功后点击【保存】按钮。保存之后章节会自动生成在左侧目录中。</w:t>
      </w:r>
    </w:p>
    <w:p w14:paraId="59927145">
      <w:pPr>
        <w:ind w:left="0" w:leftChars="0" w:firstLine="0" w:firstLineChars="0"/>
        <w:rPr>
          <w:b/>
          <w:bCs/>
        </w:rPr>
      </w:pPr>
      <w:r>
        <w:drawing>
          <wp:inline distT="0" distB="0" distL="114300" distR="114300">
            <wp:extent cx="5264150" cy="1183640"/>
            <wp:effectExtent l="0" t="0" r="12700" b="16510"/>
            <wp:docPr id="17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2"/>
                    <pic:cNvPicPr>
                      <a:picLocks noChangeAspect="1"/>
                    </pic:cNvPicPr>
                  </pic:nvPicPr>
                  <pic:blipFill>
                    <a:blip r:embed="rId63"/>
                    <a:stretch>
                      <a:fillRect/>
                    </a:stretch>
                  </pic:blipFill>
                  <pic:spPr>
                    <a:xfrm>
                      <a:off x="0" y="0"/>
                      <a:ext cx="5264150" cy="1183640"/>
                    </a:xfrm>
                    <a:prstGeom prst="rect">
                      <a:avLst/>
                    </a:prstGeom>
                    <a:noFill/>
                    <a:ln>
                      <a:noFill/>
                    </a:ln>
                  </pic:spPr>
                </pic:pic>
              </a:graphicData>
            </a:graphic>
          </wp:inline>
        </w:drawing>
      </w:r>
    </w:p>
    <w:p w14:paraId="30889D85">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2、招标代理可在新增章节完成后，上传章节内容既可。</w:t>
      </w:r>
    </w:p>
    <w:p w14:paraId="3A3EDF98">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eastAsia" w:ascii="Arial" w:hAnsi="Arial" w:eastAsia="宋体" w:cstheme="minorBidi"/>
          <w:b w:val="0"/>
          <w:bCs w:val="0"/>
          <w:kern w:val="2"/>
          <w:sz w:val="21"/>
          <w:szCs w:val="21"/>
          <w:lang w:val="en-US" w:eastAsia="zh-CN" w:bidi="ar-SA"/>
        </w:rPr>
      </w:pPr>
      <w:bookmarkStart w:id="38" w:name="_Toc16352"/>
      <w:r>
        <w:rPr>
          <w:rFonts w:hint="eastAsia" w:ascii="华文仿宋" w:hAnsi="华文仿宋" w:eastAsia="华文仿宋" w:cs="华文仿宋"/>
          <w:lang w:val="en-US" w:eastAsia="zh-CN"/>
        </w:rPr>
        <w:t>5.9第*章：投标文件格式</w:t>
      </w:r>
      <w:bookmarkEnd w:id="38"/>
    </w:p>
    <w:p w14:paraId="453ED5C6">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投标文件格式由两部分组成，分别是招标文件格式模版、其他材料。招标代理自定义部分点击【选择文件】按钮进行上传，系统自动组装。</w:t>
      </w:r>
    </w:p>
    <w:p w14:paraId="165D4FF7">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注意：上传文件请删除页码格式，否则会影响招标文件合并后的目录页码。</w:t>
      </w:r>
    </w:p>
    <w:p w14:paraId="69826D21">
      <w:pPr>
        <w:ind w:left="0" w:leftChars="0" w:firstLine="0" w:firstLineChars="0"/>
        <w:rPr>
          <w:b/>
          <w:bCs/>
        </w:rPr>
      </w:pPr>
      <w:r>
        <w:drawing>
          <wp:inline distT="0" distB="0" distL="114300" distR="114300">
            <wp:extent cx="5271770" cy="1796415"/>
            <wp:effectExtent l="0" t="0" r="5080" b="13335"/>
            <wp:docPr id="17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3"/>
                    <pic:cNvPicPr>
                      <a:picLocks noChangeAspect="1"/>
                    </pic:cNvPicPr>
                  </pic:nvPicPr>
                  <pic:blipFill>
                    <a:blip r:embed="rId64"/>
                    <a:stretch>
                      <a:fillRect/>
                    </a:stretch>
                  </pic:blipFill>
                  <pic:spPr>
                    <a:xfrm>
                      <a:off x="0" y="0"/>
                      <a:ext cx="5271770" cy="1796415"/>
                    </a:xfrm>
                    <a:prstGeom prst="rect">
                      <a:avLst/>
                    </a:prstGeom>
                    <a:noFill/>
                    <a:ln>
                      <a:noFill/>
                    </a:ln>
                  </pic:spPr>
                </pic:pic>
              </a:graphicData>
            </a:graphic>
          </wp:inline>
        </w:drawing>
      </w:r>
    </w:p>
    <w:p w14:paraId="0F339D02">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default" w:ascii="Arial" w:hAnsi="Arial" w:eastAsia="宋体" w:cstheme="minorBidi"/>
          <w:b w:val="0"/>
          <w:bCs w:val="0"/>
          <w:kern w:val="2"/>
          <w:sz w:val="21"/>
          <w:szCs w:val="21"/>
          <w:lang w:val="en-US" w:eastAsia="zh-CN" w:bidi="ar-SA"/>
        </w:rPr>
      </w:pPr>
      <w:bookmarkStart w:id="39" w:name="_Toc29952"/>
      <w:r>
        <w:rPr>
          <w:rFonts w:hint="eastAsia" w:ascii="华文仿宋" w:hAnsi="华文仿宋" w:eastAsia="华文仿宋" w:cs="华文仿宋"/>
          <w:lang w:val="en-US" w:eastAsia="zh-CN"/>
        </w:rPr>
        <w:t>5.10其他文件</w:t>
      </w:r>
      <w:bookmarkEnd w:id="39"/>
    </w:p>
    <w:p w14:paraId="32206A67">
      <w:pPr>
        <w:pStyle w:val="22"/>
        <w:bidi w:val="0"/>
        <w:jc w:val="left"/>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 xml:space="preserve">     若招标代理对招标文件还有其他补充文件需要上传，可以在【招标文件】的【其他文件】中进行上传。</w:t>
      </w:r>
    </w:p>
    <w:p w14:paraId="2A9C2887">
      <w:pPr>
        <w:ind w:left="0" w:leftChars="0" w:firstLine="0" w:firstLineChars="0"/>
      </w:pPr>
      <w:r>
        <w:drawing>
          <wp:inline distT="0" distB="0" distL="114300" distR="114300">
            <wp:extent cx="5263515" cy="1406525"/>
            <wp:effectExtent l="0" t="0" r="13335" b="3175"/>
            <wp:docPr id="17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4"/>
                    <pic:cNvPicPr>
                      <a:picLocks noChangeAspect="1"/>
                    </pic:cNvPicPr>
                  </pic:nvPicPr>
                  <pic:blipFill>
                    <a:blip r:embed="rId65"/>
                    <a:stretch>
                      <a:fillRect/>
                    </a:stretch>
                  </pic:blipFill>
                  <pic:spPr>
                    <a:xfrm>
                      <a:off x="0" y="0"/>
                      <a:ext cx="5263515" cy="1406525"/>
                    </a:xfrm>
                    <a:prstGeom prst="rect">
                      <a:avLst/>
                    </a:prstGeom>
                    <a:noFill/>
                    <a:ln>
                      <a:noFill/>
                    </a:ln>
                  </pic:spPr>
                </pic:pic>
              </a:graphicData>
            </a:graphic>
          </wp:inline>
        </w:drawing>
      </w:r>
    </w:p>
    <w:p w14:paraId="736B0949">
      <w:pPr>
        <w:pStyle w:val="3"/>
        <w:numPr>
          <w:ilvl w:val="1"/>
          <w:numId w:val="0"/>
        </w:numPr>
        <w:bidi w:val="0"/>
        <w:ind w:leftChars="0"/>
        <w:rPr>
          <w:rFonts w:hint="default" w:ascii="华文仿宋" w:hAnsi="华文仿宋" w:eastAsia="华文仿宋" w:cs="华文仿宋"/>
          <w:lang w:val="en-US" w:eastAsia="zh-CN"/>
        </w:rPr>
      </w:pPr>
      <w:bookmarkStart w:id="40" w:name="_Toc15981"/>
      <w:r>
        <w:rPr>
          <w:rFonts w:hint="eastAsia" w:ascii="华文仿宋" w:hAnsi="华文仿宋" w:eastAsia="华文仿宋" w:cs="华文仿宋"/>
          <w:lang w:val="en-US" w:eastAsia="zh-CN"/>
        </w:rPr>
        <w:t>（六）文件汇总</w:t>
      </w:r>
      <w:bookmarkEnd w:id="40"/>
    </w:p>
    <w:p w14:paraId="5A28B9BC">
      <w:pPr>
        <w:rPr>
          <w:rFonts w:hint="eastAsia" w:ascii="华文仿宋" w:hAnsi="华文仿宋" w:eastAsia="华文仿宋" w:cs="华文仿宋"/>
          <w:kern w:val="2"/>
          <w:sz w:val="28"/>
          <w:szCs w:val="28"/>
          <w:lang w:val="en-US" w:eastAsia="zh-CN" w:bidi="ar-SA"/>
          <w14:ligatures w14:val="standardContextual"/>
        </w:rPr>
      </w:pPr>
      <w:r>
        <w:rPr>
          <w:rFonts w:hint="eastAsia" w:ascii="Arial" w:hAnsi="Arial" w:eastAsia="宋体" w:cstheme="minorBidi"/>
          <w:b w:val="0"/>
          <w:bCs w:val="0"/>
          <w:kern w:val="2"/>
          <w:sz w:val="21"/>
          <w:szCs w:val="21"/>
          <w:lang w:val="en-US" w:eastAsia="zh-CN" w:bidi="ar-SA"/>
        </w:rPr>
        <w:t xml:space="preserve">  </w:t>
      </w:r>
      <w:r>
        <w:rPr>
          <w:rFonts w:hint="eastAsia" w:ascii="华文仿宋" w:hAnsi="华文仿宋" w:eastAsia="华文仿宋" w:cs="华文仿宋"/>
          <w:kern w:val="2"/>
          <w:sz w:val="28"/>
          <w:szCs w:val="28"/>
          <w:lang w:val="en-US" w:eastAsia="zh-CN" w:bidi="ar-SA"/>
          <w14:ligatures w14:val="standardContextual"/>
        </w:rPr>
        <w:t xml:space="preserve"> 招标人将招标文件所有内容编制完成后，可点击【文件汇总】查看所有附件生成时间、生成状态、预览生成文件，生成文件检查无误后，可进行整个招标文件提交。</w:t>
      </w:r>
    </w:p>
    <w:p w14:paraId="701427B6">
      <w:r>
        <w:drawing>
          <wp:inline distT="0" distB="0" distL="114300" distR="114300">
            <wp:extent cx="5269230" cy="2009140"/>
            <wp:effectExtent l="0" t="0" r="7620" b="10160"/>
            <wp:docPr id="17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5"/>
                    <pic:cNvPicPr>
                      <a:picLocks noChangeAspect="1"/>
                    </pic:cNvPicPr>
                  </pic:nvPicPr>
                  <pic:blipFill>
                    <a:blip r:embed="rId66"/>
                    <a:stretch>
                      <a:fillRect/>
                    </a:stretch>
                  </pic:blipFill>
                  <pic:spPr>
                    <a:xfrm>
                      <a:off x="0" y="0"/>
                      <a:ext cx="5269230" cy="2009140"/>
                    </a:xfrm>
                    <a:prstGeom prst="rect">
                      <a:avLst/>
                    </a:prstGeom>
                    <a:noFill/>
                    <a:ln>
                      <a:noFill/>
                    </a:ln>
                  </pic:spPr>
                </pic:pic>
              </a:graphicData>
            </a:graphic>
          </wp:inline>
        </w:drawing>
      </w:r>
    </w:p>
    <w:p w14:paraId="4ECB63AA">
      <w:pPr>
        <w:pStyle w:val="3"/>
        <w:numPr>
          <w:ilvl w:val="1"/>
          <w:numId w:val="0"/>
        </w:numPr>
        <w:bidi w:val="0"/>
        <w:ind w:leftChars="0"/>
        <w:rPr>
          <w:rFonts w:hint="eastAsia" w:eastAsia="宋体"/>
          <w:lang w:val="en-US" w:eastAsia="zh-CN"/>
        </w:rPr>
      </w:pPr>
      <w:bookmarkStart w:id="41" w:name="_Toc8432"/>
      <w:r>
        <w:rPr>
          <w:rFonts w:hint="eastAsia" w:ascii="华文仿宋" w:hAnsi="华文仿宋" w:eastAsia="华文仿宋" w:cs="华文仿宋"/>
          <w:lang w:val="en-US" w:eastAsia="zh-CN"/>
        </w:rPr>
        <w:t>（七）发布公告</w:t>
      </w:r>
      <w:bookmarkEnd w:id="41"/>
    </w:p>
    <w:p w14:paraId="4E558906">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jc w:val="left"/>
        <w:textAlignment w:val="auto"/>
      </w:pPr>
      <w:r>
        <w:rPr>
          <w:rFonts w:hint="eastAsia" w:ascii="华文仿宋" w:hAnsi="华文仿宋" w:eastAsia="华文仿宋" w:cs="华文仿宋"/>
          <w:kern w:val="2"/>
          <w:sz w:val="28"/>
          <w:szCs w:val="28"/>
          <w:lang w:val="en-US" w:eastAsia="zh-CN" w:bidi="ar-SA"/>
          <w14:ligatures w14:val="standardContextual"/>
        </w:rPr>
        <w:t>1、点击“发布公告”按钮，可以预览查看招标公告详细信息。</w:t>
      </w:r>
    </w:p>
    <w:p w14:paraId="107ED5F3">
      <w:pPr>
        <w:pageBreakBefore w:val="0"/>
        <w:widowControl w:val="0"/>
        <w:kinsoku/>
        <w:wordWrap/>
        <w:overflowPunct/>
        <w:autoSpaceDE/>
        <w:autoSpaceDN/>
        <w:bidi w:val="0"/>
        <w:adjustRightInd/>
        <w:snapToGrid/>
        <w:ind w:left="0" w:leftChars="0" w:firstLine="0" w:firstLineChars="0"/>
        <w:rPr>
          <w:rFonts w:hint="eastAsia"/>
          <w:sz w:val="21"/>
          <w:szCs w:val="21"/>
          <w:lang w:eastAsia="zh-CN"/>
        </w:rPr>
      </w:pPr>
      <w:r>
        <w:drawing>
          <wp:inline distT="0" distB="0" distL="114300" distR="114300">
            <wp:extent cx="5269230" cy="2246630"/>
            <wp:effectExtent l="0" t="0" r="7620" b="127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67"/>
                    <a:stretch>
                      <a:fillRect/>
                    </a:stretch>
                  </pic:blipFill>
                  <pic:spPr>
                    <a:xfrm>
                      <a:off x="0" y="0"/>
                      <a:ext cx="5269230" cy="2246630"/>
                    </a:xfrm>
                    <a:prstGeom prst="rect">
                      <a:avLst/>
                    </a:prstGeom>
                    <a:noFill/>
                    <a:ln>
                      <a:noFill/>
                    </a:ln>
                  </pic:spPr>
                </pic:pic>
              </a:graphicData>
            </a:graphic>
          </wp:inline>
        </w:drawing>
      </w:r>
    </w:p>
    <w:p w14:paraId="28257F38">
      <w:pPr>
        <w:pStyle w:val="22"/>
        <w:pageBreakBefore w:val="0"/>
        <w:widowControl w:val="0"/>
        <w:kinsoku/>
        <w:wordWrap/>
        <w:overflowPunct/>
        <w:autoSpaceDE/>
        <w:autoSpaceDN/>
        <w:bidi w:val="0"/>
        <w:adjustRightInd/>
        <w:snapToGrid/>
        <w:spacing w:before="156" w:after="156"/>
        <w:ind w:firstLine="240" w:firstLineChars="100"/>
        <w:jc w:val="both"/>
        <w:rPr>
          <w:rFonts w:hint="eastAsia"/>
          <w:color w:val="FF0000"/>
          <w:sz w:val="24"/>
          <w:szCs w:val="24"/>
          <w:lang w:eastAsia="zh-CN"/>
        </w:rPr>
      </w:pPr>
      <w:r>
        <w:rPr>
          <w:rFonts w:hint="eastAsia"/>
          <w:color w:val="FF0000"/>
          <w:sz w:val="24"/>
          <w:szCs w:val="24"/>
          <w:lang w:eastAsia="zh-CN"/>
        </w:rPr>
        <w:t>注：</w:t>
      </w:r>
    </w:p>
    <w:p w14:paraId="309B5966">
      <w:pPr>
        <w:pStyle w:val="22"/>
        <w:pageBreakBefore w:val="0"/>
        <w:widowControl w:val="0"/>
        <w:kinsoku/>
        <w:wordWrap/>
        <w:overflowPunct/>
        <w:autoSpaceDE/>
        <w:autoSpaceDN/>
        <w:bidi w:val="0"/>
        <w:adjustRightInd/>
        <w:snapToGrid/>
        <w:spacing w:before="156" w:after="156"/>
        <w:ind w:firstLine="240" w:firstLineChars="100"/>
        <w:jc w:val="both"/>
        <w:rPr>
          <w:rFonts w:hint="eastAsia"/>
          <w:color w:val="FF0000"/>
          <w:sz w:val="24"/>
          <w:szCs w:val="24"/>
          <w:lang w:val="en-US" w:eastAsia="zh-CN"/>
        </w:rPr>
      </w:pPr>
      <w:r>
        <w:rPr>
          <w:rFonts w:hint="eastAsia"/>
          <w:color w:val="FF0000"/>
          <w:sz w:val="24"/>
          <w:szCs w:val="24"/>
          <w:lang w:val="en-US" w:eastAsia="zh-CN"/>
        </w:rPr>
        <w:t>1）、</w:t>
      </w:r>
      <w:r>
        <w:rPr>
          <w:rFonts w:hint="eastAsia"/>
          <w:color w:val="FF0000"/>
          <w:sz w:val="24"/>
          <w:szCs w:val="24"/>
          <w:lang w:eastAsia="zh-CN"/>
        </w:rPr>
        <w:t>提交审核前需先完成</w:t>
      </w:r>
      <w:r>
        <w:rPr>
          <w:rFonts w:hint="eastAsia"/>
          <w:color w:val="FF0000"/>
          <w:sz w:val="24"/>
          <w:szCs w:val="24"/>
          <w:lang w:val="en-US" w:eastAsia="zh-CN"/>
        </w:rPr>
        <w:t>公告签章、PDF招标文件签章和ztbml招标文件的生成；</w:t>
      </w:r>
    </w:p>
    <w:p w14:paraId="60B4ACB2">
      <w:pPr>
        <w:pStyle w:val="22"/>
        <w:pageBreakBefore w:val="0"/>
        <w:widowControl w:val="0"/>
        <w:numPr>
          <w:ilvl w:val="0"/>
          <w:numId w:val="0"/>
        </w:numPr>
        <w:kinsoku/>
        <w:wordWrap/>
        <w:overflowPunct/>
        <w:autoSpaceDE/>
        <w:autoSpaceDN/>
        <w:bidi w:val="0"/>
        <w:adjustRightInd/>
        <w:snapToGrid/>
        <w:spacing w:before="156" w:after="156"/>
        <w:ind w:firstLine="240" w:firstLineChars="100"/>
        <w:jc w:val="both"/>
        <w:rPr>
          <w:rFonts w:hint="eastAsia"/>
          <w:color w:val="FF0000"/>
          <w:sz w:val="24"/>
          <w:szCs w:val="24"/>
          <w:lang w:val="en-US" w:eastAsia="zh-CN"/>
        </w:rPr>
      </w:pPr>
      <w:r>
        <w:rPr>
          <w:rFonts w:hint="eastAsia"/>
          <w:color w:val="FF0000"/>
          <w:sz w:val="24"/>
          <w:szCs w:val="24"/>
          <w:lang w:val="en-US" w:eastAsia="zh-CN"/>
        </w:rPr>
        <w:t>2）、生成ztbml招标文件前需先提交招标文件。</w:t>
      </w:r>
    </w:p>
    <w:p w14:paraId="08289A4F">
      <w:pPr>
        <w:pStyle w:val="22"/>
        <w:pageBreakBefore w:val="0"/>
        <w:widowControl w:val="0"/>
        <w:numPr>
          <w:ilvl w:val="0"/>
          <w:numId w:val="0"/>
        </w:numPr>
        <w:kinsoku/>
        <w:wordWrap/>
        <w:overflowPunct/>
        <w:autoSpaceDE/>
        <w:autoSpaceDN/>
        <w:bidi w:val="0"/>
        <w:adjustRightInd/>
        <w:snapToGrid/>
        <w:spacing w:before="156" w:after="156"/>
        <w:ind w:firstLine="240" w:firstLineChars="100"/>
        <w:jc w:val="both"/>
        <w:rPr>
          <w:rFonts w:hint="default"/>
          <w:color w:val="FF0000"/>
          <w:sz w:val="24"/>
          <w:szCs w:val="24"/>
          <w:lang w:val="en-US" w:eastAsia="zh-CN"/>
        </w:rPr>
      </w:pPr>
      <w:r>
        <w:rPr>
          <w:rFonts w:hint="eastAsia"/>
          <w:color w:val="FF0000"/>
          <w:sz w:val="24"/>
          <w:szCs w:val="24"/>
          <w:lang w:val="en-US" w:eastAsia="zh-CN"/>
        </w:rPr>
        <w:t>3）、公告与招标文件签章后，需等待招标人签章审核通过后公告才见网。</w:t>
      </w:r>
    </w:p>
    <w:p w14:paraId="22F806A2">
      <w:pPr>
        <w:pStyle w:val="22"/>
        <w:pageBreakBefore w:val="0"/>
        <w:widowControl w:val="0"/>
        <w:kinsoku/>
        <w:wordWrap/>
        <w:overflowPunct/>
        <w:autoSpaceDE/>
        <w:autoSpaceDN/>
        <w:bidi w:val="0"/>
        <w:adjustRightInd/>
        <w:snapToGrid/>
        <w:spacing w:before="156" w:after="156"/>
        <w:jc w:val="both"/>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2、点击“招标文件”按钮。进入招标文件生成页面。</w:t>
      </w:r>
    </w:p>
    <w:p w14:paraId="7A316498">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67325" cy="2033905"/>
            <wp:effectExtent l="0" t="0" r="9525" b="444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68"/>
                    <a:stretch>
                      <a:fillRect/>
                    </a:stretch>
                  </pic:blipFill>
                  <pic:spPr>
                    <a:xfrm>
                      <a:off x="0" y="0"/>
                      <a:ext cx="5267325" cy="2033905"/>
                    </a:xfrm>
                    <a:prstGeom prst="rect">
                      <a:avLst/>
                    </a:prstGeom>
                    <a:noFill/>
                    <a:ln>
                      <a:noFill/>
                    </a:ln>
                  </pic:spPr>
                </pic:pic>
              </a:graphicData>
            </a:graphic>
          </wp:inline>
        </w:drawing>
      </w:r>
    </w:p>
    <w:p w14:paraId="3BC94874">
      <w:pPr>
        <w:pStyle w:val="22"/>
        <w:pageBreakBefore w:val="0"/>
        <w:widowControl w:val="0"/>
        <w:kinsoku/>
        <w:wordWrap/>
        <w:overflowPunct/>
        <w:autoSpaceDE/>
        <w:autoSpaceDN/>
        <w:bidi w:val="0"/>
        <w:adjustRightInd/>
        <w:snapToGrid/>
        <w:spacing w:before="156" w:after="156"/>
        <w:jc w:val="both"/>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3、点击“重新签章”获取最新PDF招标文件进行签章，点击“生成文件”生成ztbml招标文件。</w:t>
      </w:r>
    </w:p>
    <w:p w14:paraId="743B542D">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73675" cy="2006600"/>
            <wp:effectExtent l="0" t="0" r="3175" b="12700"/>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69"/>
                    <a:stretch>
                      <a:fillRect/>
                    </a:stretch>
                  </pic:blipFill>
                  <pic:spPr>
                    <a:xfrm>
                      <a:off x="0" y="0"/>
                      <a:ext cx="5273675" cy="2006600"/>
                    </a:xfrm>
                    <a:prstGeom prst="rect">
                      <a:avLst/>
                    </a:prstGeom>
                    <a:noFill/>
                    <a:ln>
                      <a:noFill/>
                    </a:ln>
                  </pic:spPr>
                </pic:pic>
              </a:graphicData>
            </a:graphic>
          </wp:inline>
        </w:drawing>
      </w:r>
    </w:p>
    <w:p w14:paraId="31BF69F5">
      <w:pPr>
        <w:pStyle w:val="22"/>
        <w:pageBreakBefore w:val="0"/>
        <w:widowControl w:val="0"/>
        <w:kinsoku/>
        <w:wordWrap/>
        <w:overflowPunct/>
        <w:autoSpaceDE/>
        <w:autoSpaceDN/>
        <w:bidi w:val="0"/>
        <w:adjustRightInd/>
        <w:snapToGrid/>
        <w:spacing w:before="156" w:after="156"/>
        <w:jc w:val="both"/>
        <w:rPr>
          <w:rFonts w:hint="default"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4、招标文件（pdf版）生成成功和生成ztbml招标文件后，点击提交“提交”按钮，提交招标公告和招标文件至招标人审核。</w:t>
      </w:r>
    </w:p>
    <w:p w14:paraId="73C5F5A4">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60340" cy="2356485"/>
            <wp:effectExtent l="0" t="0" r="16510" b="5715"/>
            <wp:docPr id="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5"/>
                    <pic:cNvPicPr>
                      <a:picLocks noChangeAspect="1"/>
                    </pic:cNvPicPr>
                  </pic:nvPicPr>
                  <pic:blipFill>
                    <a:blip r:embed="rId70"/>
                    <a:stretch>
                      <a:fillRect/>
                    </a:stretch>
                  </pic:blipFill>
                  <pic:spPr>
                    <a:xfrm>
                      <a:off x="0" y="0"/>
                      <a:ext cx="5260340" cy="2356485"/>
                    </a:xfrm>
                    <a:prstGeom prst="rect">
                      <a:avLst/>
                    </a:prstGeom>
                    <a:noFill/>
                    <a:ln>
                      <a:noFill/>
                    </a:ln>
                  </pic:spPr>
                </pic:pic>
              </a:graphicData>
            </a:graphic>
          </wp:inline>
        </w:drawing>
      </w:r>
    </w:p>
    <w:p w14:paraId="6A09EDD7">
      <w:pPr>
        <w:pStyle w:val="22"/>
        <w:keepNext w:val="0"/>
        <w:keepLines w:val="0"/>
        <w:pageBreakBefore w:val="0"/>
        <w:widowControl w:val="0"/>
        <w:kinsoku/>
        <w:wordWrap/>
        <w:overflowPunct/>
        <w:topLinePunct w:val="0"/>
        <w:autoSpaceDE/>
        <w:autoSpaceDN/>
        <w:bidi w:val="0"/>
        <w:adjustRightInd/>
        <w:snapToGrid/>
        <w:spacing w:before="156" w:after="156"/>
        <w:ind w:firstLine="560" w:firstLineChars="200"/>
        <w:jc w:val="both"/>
        <w:textAlignment w:val="auto"/>
        <w:rPr>
          <w:rFonts w:hint="eastAsia" w:eastAsia="宋体"/>
          <w:lang w:val="en-US" w:eastAsia="zh-CN"/>
        </w:rPr>
      </w:pPr>
      <w:r>
        <w:rPr>
          <w:rFonts w:hint="eastAsia" w:ascii="华文仿宋" w:hAnsi="华文仿宋" w:eastAsia="华文仿宋" w:cs="华文仿宋"/>
          <w:kern w:val="2"/>
          <w:sz w:val="28"/>
          <w:szCs w:val="28"/>
          <w:lang w:val="en-US" w:eastAsia="zh-CN" w:bidi="ar-SA"/>
          <w14:ligatures w14:val="standardContextual"/>
        </w:rPr>
        <w:t>代理未提交招标公告，招标公告之前的节点（招标文件、场地预约、招标公告）可以重新修改编辑；代理提交招标公告后，之前的节点不可修改，需要等待招标人审核；招标人审核通过后，若有更改需求，需要通过发布澄清更改要修改的内容。</w:t>
      </w:r>
    </w:p>
    <w:p w14:paraId="7F89EDA5">
      <w:pPr>
        <w:rPr>
          <w:rFonts w:hint="eastAsia" w:eastAsia="宋体"/>
          <w:lang w:val="en-US" w:eastAsia="zh-CN"/>
        </w:rPr>
      </w:pPr>
    </w:p>
    <w:p w14:paraId="746E7944">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42" w:name="_Toc4471"/>
      <w:r>
        <w:rPr>
          <w:rFonts w:hint="eastAsia" w:ascii="华文仿宋" w:hAnsi="华文仿宋" w:eastAsia="华文仿宋" w:cs="华文仿宋"/>
          <w:b/>
          <w:bCs/>
          <w:kern w:val="2"/>
          <w:sz w:val="32"/>
          <w:szCs w:val="32"/>
          <w:lang w:val="en-US" w:eastAsia="zh-CN" w:bidi="ar-SA"/>
          <w14:ligatures w14:val="none"/>
        </w:rPr>
        <w:t>十、变更公告</w:t>
      </w:r>
      <w:bookmarkEnd w:id="42"/>
    </w:p>
    <w:p w14:paraId="7E286C37">
      <w:pPr>
        <w:pStyle w:val="3"/>
        <w:numPr>
          <w:ilvl w:val="1"/>
          <w:numId w:val="0"/>
        </w:numPr>
        <w:bidi w:val="0"/>
        <w:ind w:left="-141" w:leftChars="0"/>
        <w:rPr>
          <w:rFonts w:hint="eastAsia" w:ascii="华文仿宋" w:hAnsi="华文仿宋" w:eastAsia="华文仿宋" w:cs="华文仿宋"/>
          <w:lang w:val="en-US" w:eastAsia="zh-CN"/>
        </w:rPr>
      </w:pPr>
      <w:bookmarkStart w:id="43" w:name="_Toc14942"/>
      <w:r>
        <w:rPr>
          <w:rFonts w:hint="eastAsia" w:ascii="华文仿宋" w:hAnsi="华文仿宋" w:eastAsia="华文仿宋" w:cs="华文仿宋"/>
          <w:lang w:val="en-US" w:eastAsia="zh-CN"/>
        </w:rPr>
        <w:t>（一）功能介绍</w:t>
      </w:r>
      <w:bookmarkEnd w:id="43"/>
    </w:p>
    <w:p w14:paraId="7B37EB62">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招标代理通过业务变更发布变更公告（变更不影响评标内容）。</w:t>
      </w:r>
    </w:p>
    <w:p w14:paraId="1C06BE8B">
      <w:pPr>
        <w:pStyle w:val="3"/>
        <w:numPr>
          <w:ilvl w:val="1"/>
          <w:numId w:val="0"/>
        </w:numPr>
        <w:bidi w:val="0"/>
        <w:ind w:left="-141" w:leftChars="0"/>
        <w:rPr>
          <w:rFonts w:hint="eastAsia" w:ascii="华文仿宋" w:hAnsi="华文仿宋" w:eastAsia="华文仿宋" w:cs="华文仿宋"/>
          <w:lang w:val="en-US" w:eastAsia="zh-CN"/>
        </w:rPr>
      </w:pPr>
      <w:bookmarkStart w:id="44" w:name="_Toc18467"/>
      <w:r>
        <w:rPr>
          <w:rFonts w:hint="eastAsia" w:ascii="华文仿宋" w:hAnsi="华文仿宋" w:eastAsia="华文仿宋" w:cs="华文仿宋"/>
          <w:lang w:val="en-US" w:eastAsia="zh-CN"/>
        </w:rPr>
        <w:t>（二）具体操作</w:t>
      </w:r>
      <w:bookmarkEnd w:id="44"/>
    </w:p>
    <w:p w14:paraId="782910A0">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1、招标代理点击右侧“业务变更”菜单，点击“变更公告”模块。</w:t>
      </w:r>
    </w:p>
    <w:p w14:paraId="0AEE87DF">
      <w:pPr>
        <w:pageBreakBefore w:val="0"/>
        <w:widowControl w:val="0"/>
        <w:kinsoku/>
        <w:wordWrap/>
        <w:overflowPunct/>
        <w:autoSpaceDE/>
        <w:autoSpaceDN/>
        <w:bidi w:val="0"/>
        <w:adjustRightInd/>
        <w:snapToGrid/>
        <w:ind w:left="0" w:leftChars="0" w:firstLine="0" w:firstLineChars="0"/>
        <w:rPr>
          <w:sz w:val="21"/>
          <w:szCs w:val="21"/>
        </w:rPr>
      </w:pPr>
      <w:r>
        <w:drawing>
          <wp:inline distT="0" distB="0" distL="114300" distR="114300">
            <wp:extent cx="5271135" cy="1638300"/>
            <wp:effectExtent l="0" t="0" r="5715" b="0"/>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71"/>
                    <a:stretch>
                      <a:fillRect/>
                    </a:stretch>
                  </pic:blipFill>
                  <pic:spPr>
                    <a:xfrm>
                      <a:off x="0" y="0"/>
                      <a:ext cx="5271135" cy="1638300"/>
                    </a:xfrm>
                    <a:prstGeom prst="rect">
                      <a:avLst/>
                    </a:prstGeom>
                    <a:noFill/>
                    <a:ln>
                      <a:noFill/>
                    </a:ln>
                  </pic:spPr>
                </pic:pic>
              </a:graphicData>
            </a:graphic>
          </wp:inline>
        </w:drawing>
      </w:r>
    </w:p>
    <w:p w14:paraId="39A66E5B">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2、招标代理点击右侧“编辑”按钮，录入变更内容。</w:t>
      </w:r>
    </w:p>
    <w:p w14:paraId="1D3D166D">
      <w:pPr>
        <w:pageBreakBefore w:val="0"/>
        <w:widowControl w:val="0"/>
        <w:kinsoku/>
        <w:wordWrap/>
        <w:overflowPunct/>
        <w:autoSpaceDE/>
        <w:autoSpaceDN/>
        <w:bidi w:val="0"/>
        <w:adjustRightInd/>
        <w:snapToGrid/>
        <w:ind w:firstLine="420"/>
      </w:pPr>
      <w:r>
        <w:drawing>
          <wp:inline distT="0" distB="0" distL="114300" distR="114300">
            <wp:extent cx="5269865" cy="2303145"/>
            <wp:effectExtent l="0" t="0" r="6985" b="1905"/>
            <wp:docPr id="11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7"/>
                    <pic:cNvPicPr>
                      <a:picLocks noChangeAspect="1"/>
                    </pic:cNvPicPr>
                  </pic:nvPicPr>
                  <pic:blipFill>
                    <a:blip r:embed="rId72"/>
                    <a:stretch>
                      <a:fillRect/>
                    </a:stretch>
                  </pic:blipFill>
                  <pic:spPr>
                    <a:xfrm>
                      <a:off x="0" y="0"/>
                      <a:ext cx="5269865" cy="2303145"/>
                    </a:xfrm>
                    <a:prstGeom prst="rect">
                      <a:avLst/>
                    </a:prstGeom>
                    <a:noFill/>
                    <a:ln>
                      <a:noFill/>
                    </a:ln>
                  </pic:spPr>
                </pic:pic>
              </a:graphicData>
            </a:graphic>
          </wp:inline>
        </w:drawing>
      </w:r>
    </w:p>
    <w:p w14:paraId="0C9E3A15">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3、招标代理完善澄清内容和附件进行变更内容。</w:t>
      </w:r>
    </w:p>
    <w:p w14:paraId="06408998">
      <w:pPr>
        <w:pageBreakBefore w:val="0"/>
        <w:widowControl w:val="0"/>
        <w:kinsoku/>
        <w:wordWrap/>
        <w:overflowPunct/>
        <w:autoSpaceDE/>
        <w:autoSpaceDN/>
        <w:bidi w:val="0"/>
        <w:adjustRightInd/>
        <w:snapToGrid/>
        <w:ind w:firstLine="420"/>
      </w:pPr>
      <w:r>
        <w:drawing>
          <wp:inline distT="0" distB="0" distL="114300" distR="114300">
            <wp:extent cx="5266690" cy="1974215"/>
            <wp:effectExtent l="0" t="0" r="0" b="0"/>
            <wp:docPr id="11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8"/>
                    <pic:cNvPicPr>
                      <a:picLocks noChangeAspect="1"/>
                    </pic:cNvPicPr>
                  </pic:nvPicPr>
                  <pic:blipFill>
                    <a:blip r:embed="rId73"/>
                    <a:srcRect b="2263"/>
                    <a:stretch>
                      <a:fillRect/>
                    </a:stretch>
                  </pic:blipFill>
                  <pic:spPr>
                    <a:xfrm>
                      <a:off x="0" y="0"/>
                      <a:ext cx="5266690" cy="1974215"/>
                    </a:xfrm>
                    <a:prstGeom prst="rect">
                      <a:avLst/>
                    </a:prstGeom>
                    <a:noFill/>
                    <a:ln>
                      <a:noFill/>
                    </a:ln>
                  </pic:spPr>
                </pic:pic>
              </a:graphicData>
            </a:graphic>
          </wp:inline>
        </w:drawing>
      </w:r>
    </w:p>
    <w:p w14:paraId="78D4DADE">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4、点击“浏览”按钮，预览变更内容效果页面。</w:t>
      </w:r>
    </w:p>
    <w:p w14:paraId="2C8EDB3C">
      <w:pPr>
        <w:pageBreakBefore w:val="0"/>
        <w:widowControl w:val="0"/>
        <w:kinsoku/>
        <w:wordWrap/>
        <w:overflowPunct/>
        <w:autoSpaceDE/>
        <w:autoSpaceDN/>
        <w:bidi w:val="0"/>
        <w:adjustRightInd/>
        <w:snapToGrid/>
        <w:ind w:firstLine="420"/>
      </w:pPr>
      <w:r>
        <w:drawing>
          <wp:inline distT="0" distB="0" distL="114300" distR="114300">
            <wp:extent cx="5271135" cy="2028825"/>
            <wp:effectExtent l="0" t="0" r="5715" b="9525"/>
            <wp:docPr id="1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9"/>
                    <pic:cNvPicPr>
                      <a:picLocks noChangeAspect="1"/>
                    </pic:cNvPicPr>
                  </pic:nvPicPr>
                  <pic:blipFill>
                    <a:blip r:embed="rId74"/>
                    <a:stretch>
                      <a:fillRect/>
                    </a:stretch>
                  </pic:blipFill>
                  <pic:spPr>
                    <a:xfrm>
                      <a:off x="0" y="0"/>
                      <a:ext cx="5271135" cy="2028825"/>
                    </a:xfrm>
                    <a:prstGeom prst="rect">
                      <a:avLst/>
                    </a:prstGeom>
                    <a:noFill/>
                    <a:ln>
                      <a:noFill/>
                    </a:ln>
                  </pic:spPr>
                </pic:pic>
              </a:graphicData>
            </a:graphic>
          </wp:inline>
        </w:drawing>
      </w:r>
    </w:p>
    <w:p w14:paraId="183158C0">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5、点击“提交”按钮，将要变更内容进行内容提交。</w:t>
      </w:r>
    </w:p>
    <w:p w14:paraId="2C2346ED">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45" w:name="_Toc23962"/>
      <w:r>
        <w:rPr>
          <w:rFonts w:hint="eastAsia" w:ascii="华文仿宋" w:hAnsi="华文仿宋" w:eastAsia="华文仿宋" w:cs="华文仿宋"/>
          <w:b/>
          <w:bCs/>
          <w:kern w:val="2"/>
          <w:sz w:val="32"/>
          <w:szCs w:val="32"/>
          <w:lang w:val="en-US" w:eastAsia="zh-CN" w:bidi="ar-SA"/>
          <w14:ligatures w14:val="none"/>
        </w:rPr>
        <w:t>十一、澄清公告</w:t>
      </w:r>
      <w:bookmarkEnd w:id="45"/>
    </w:p>
    <w:p w14:paraId="710E7DBE">
      <w:pPr>
        <w:pStyle w:val="3"/>
        <w:numPr>
          <w:ilvl w:val="1"/>
          <w:numId w:val="0"/>
        </w:numPr>
        <w:bidi w:val="0"/>
        <w:ind w:left="-141" w:leftChars="0"/>
        <w:rPr>
          <w:rFonts w:hint="eastAsia" w:ascii="华文仿宋" w:hAnsi="华文仿宋" w:eastAsia="华文仿宋" w:cs="华文仿宋"/>
          <w:lang w:val="en-US" w:eastAsia="zh-CN"/>
        </w:rPr>
      </w:pPr>
      <w:bookmarkStart w:id="46" w:name="_Toc6224"/>
      <w:r>
        <w:rPr>
          <w:rFonts w:hint="eastAsia" w:ascii="华文仿宋" w:hAnsi="华文仿宋" w:eastAsia="华文仿宋" w:cs="华文仿宋"/>
          <w:lang w:val="en-US" w:eastAsia="zh-CN"/>
        </w:rPr>
        <w:t>（一）功能介绍</w:t>
      </w:r>
      <w:bookmarkEnd w:id="46"/>
    </w:p>
    <w:p w14:paraId="37AA716D">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招标代理通过业务变更发布澄清公告（澄清内容会影响到评标，项目距离开标时间不符合法规要求，需延期开标）。</w:t>
      </w:r>
    </w:p>
    <w:p w14:paraId="28B8FD63">
      <w:pPr>
        <w:pStyle w:val="3"/>
        <w:numPr>
          <w:ilvl w:val="1"/>
          <w:numId w:val="0"/>
        </w:numPr>
        <w:bidi w:val="0"/>
        <w:ind w:left="-141" w:leftChars="0"/>
        <w:rPr>
          <w:rFonts w:hint="eastAsia" w:ascii="华文仿宋" w:hAnsi="华文仿宋" w:eastAsia="华文仿宋" w:cs="华文仿宋"/>
          <w:lang w:val="en-US" w:eastAsia="zh-CN"/>
        </w:rPr>
      </w:pPr>
      <w:bookmarkStart w:id="47" w:name="_Toc4237"/>
      <w:r>
        <w:rPr>
          <w:rFonts w:hint="eastAsia" w:ascii="华文仿宋" w:hAnsi="华文仿宋" w:eastAsia="华文仿宋" w:cs="华文仿宋"/>
          <w:lang w:val="en-US" w:eastAsia="zh-CN"/>
        </w:rPr>
        <w:t>（二）具体操作</w:t>
      </w:r>
      <w:bookmarkEnd w:id="47"/>
    </w:p>
    <w:p w14:paraId="0645232A">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1、招标代理点击右侧“业务变更”菜单，点击“澄清公告”模块。</w:t>
      </w:r>
    </w:p>
    <w:p w14:paraId="2CCCF326">
      <w:pPr>
        <w:pageBreakBefore w:val="0"/>
        <w:widowControl w:val="0"/>
        <w:kinsoku/>
        <w:wordWrap/>
        <w:overflowPunct/>
        <w:autoSpaceDE/>
        <w:autoSpaceDN/>
        <w:bidi w:val="0"/>
        <w:adjustRightInd/>
        <w:snapToGrid/>
        <w:ind w:left="0" w:leftChars="0" w:firstLine="0" w:firstLineChars="0"/>
        <w:rPr>
          <w:rFonts w:hint="eastAsia" w:ascii="华文仿宋" w:hAnsi="华文仿宋" w:eastAsia="华文仿宋" w:cs="华文仿宋"/>
          <w:kern w:val="2"/>
          <w:sz w:val="28"/>
          <w:szCs w:val="28"/>
          <w:lang w:val="en-US" w:eastAsia="zh-CN" w:bidi="ar-SA"/>
          <w14:ligatures w14:val="standardContextual"/>
        </w:rPr>
      </w:pPr>
      <w:r>
        <w:drawing>
          <wp:inline distT="0" distB="0" distL="114300" distR="114300">
            <wp:extent cx="5260340" cy="1588135"/>
            <wp:effectExtent l="0" t="0" r="16510" b="12065"/>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75"/>
                    <a:stretch>
                      <a:fillRect/>
                    </a:stretch>
                  </pic:blipFill>
                  <pic:spPr>
                    <a:xfrm>
                      <a:off x="0" y="0"/>
                      <a:ext cx="5260340" cy="1588135"/>
                    </a:xfrm>
                    <a:prstGeom prst="rect">
                      <a:avLst/>
                    </a:prstGeom>
                    <a:noFill/>
                    <a:ln>
                      <a:noFill/>
                    </a:ln>
                  </pic:spPr>
                </pic:pic>
              </a:graphicData>
            </a:graphic>
          </wp:inline>
        </w:drawing>
      </w:r>
    </w:p>
    <w:p w14:paraId="6AF32D48">
      <w:pPr>
        <w:pageBreakBefore w:val="0"/>
        <w:widowControl w:val="0"/>
        <w:numPr>
          <w:ilvl w:val="0"/>
          <w:numId w:val="13"/>
        </w:numPr>
        <w:kinsoku/>
        <w:wordWrap/>
        <w:overflowPunct/>
        <w:autoSpaceDE/>
        <w:autoSpaceDN/>
        <w:bidi w:val="0"/>
        <w:adjustRightInd/>
        <w:snapToGrid/>
        <w:ind w:left="0" w:leftChars="0" w:firstLine="560" w:firstLineChars="20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招标代理点击右侧“新增”按钮，新增澄清内容。</w:t>
      </w:r>
    </w:p>
    <w:p w14:paraId="193E765A">
      <w:pPr>
        <w:pageBreakBefore w:val="0"/>
        <w:widowControl w:val="0"/>
        <w:numPr>
          <w:ilvl w:val="0"/>
          <w:numId w:val="0"/>
        </w:numPr>
        <w:kinsoku/>
        <w:wordWrap/>
        <w:overflowPunct/>
        <w:autoSpaceDE/>
        <w:autoSpaceDN/>
        <w:bidi w:val="0"/>
        <w:adjustRightInd/>
        <w:snapToGrid/>
      </w:pPr>
      <w:r>
        <w:drawing>
          <wp:inline distT="0" distB="0" distL="114300" distR="114300">
            <wp:extent cx="5264785" cy="2488565"/>
            <wp:effectExtent l="0" t="0" r="12065" b="698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76"/>
                    <a:stretch>
                      <a:fillRect/>
                    </a:stretch>
                  </pic:blipFill>
                  <pic:spPr>
                    <a:xfrm>
                      <a:off x="0" y="0"/>
                      <a:ext cx="5264785" cy="2488565"/>
                    </a:xfrm>
                    <a:prstGeom prst="rect">
                      <a:avLst/>
                    </a:prstGeom>
                    <a:noFill/>
                    <a:ln>
                      <a:noFill/>
                    </a:ln>
                  </pic:spPr>
                </pic:pic>
              </a:graphicData>
            </a:graphic>
          </wp:inline>
        </w:drawing>
      </w:r>
    </w:p>
    <w:p w14:paraId="7CE0E679">
      <w:pPr>
        <w:pageBreakBefore w:val="0"/>
        <w:widowControl w:val="0"/>
        <w:numPr>
          <w:ilvl w:val="0"/>
          <w:numId w:val="13"/>
        </w:numPr>
        <w:kinsoku/>
        <w:wordWrap/>
        <w:overflowPunct/>
        <w:autoSpaceDE/>
        <w:autoSpaceDN/>
        <w:bidi w:val="0"/>
        <w:adjustRightInd/>
        <w:snapToGrid/>
        <w:ind w:left="0" w:leftChars="0" w:firstLine="560" w:firstLineChars="20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招标代理勾选“标段”，新增澄清内容。</w:t>
      </w:r>
    </w:p>
    <w:p w14:paraId="6F9C075E">
      <w:pPr>
        <w:pageBreakBefore w:val="0"/>
        <w:widowControl w:val="0"/>
        <w:numPr>
          <w:ilvl w:val="0"/>
          <w:numId w:val="0"/>
        </w:numPr>
        <w:kinsoku/>
        <w:wordWrap/>
        <w:overflowPunct/>
        <w:autoSpaceDE/>
        <w:autoSpaceDN/>
        <w:bidi w:val="0"/>
        <w:adjustRightInd/>
        <w:snapToGrid/>
      </w:pPr>
      <w:r>
        <w:drawing>
          <wp:inline distT="0" distB="0" distL="114300" distR="114300">
            <wp:extent cx="5267325" cy="2317115"/>
            <wp:effectExtent l="0" t="0" r="9525" b="6985"/>
            <wp:docPr id="12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6"/>
                    <pic:cNvPicPr>
                      <a:picLocks noChangeAspect="1"/>
                    </pic:cNvPicPr>
                  </pic:nvPicPr>
                  <pic:blipFill>
                    <a:blip r:embed="rId77"/>
                    <a:stretch>
                      <a:fillRect/>
                    </a:stretch>
                  </pic:blipFill>
                  <pic:spPr>
                    <a:xfrm>
                      <a:off x="0" y="0"/>
                      <a:ext cx="5267325" cy="2317115"/>
                    </a:xfrm>
                    <a:prstGeom prst="rect">
                      <a:avLst/>
                    </a:prstGeom>
                    <a:noFill/>
                    <a:ln>
                      <a:noFill/>
                    </a:ln>
                  </pic:spPr>
                </pic:pic>
              </a:graphicData>
            </a:graphic>
          </wp:inline>
        </w:drawing>
      </w:r>
    </w:p>
    <w:p w14:paraId="1BF2C055">
      <w:pPr>
        <w:pageBreakBefore w:val="0"/>
        <w:widowControl w:val="0"/>
        <w:numPr>
          <w:ilvl w:val="0"/>
          <w:numId w:val="13"/>
        </w:numPr>
        <w:kinsoku/>
        <w:wordWrap/>
        <w:overflowPunct/>
        <w:autoSpaceDE/>
        <w:autoSpaceDN/>
        <w:bidi w:val="0"/>
        <w:adjustRightInd/>
        <w:snapToGrid/>
        <w:ind w:left="0" w:leftChars="0" w:firstLine="560" w:firstLineChars="200"/>
      </w:pPr>
      <w:r>
        <w:rPr>
          <w:rFonts w:hint="eastAsia" w:ascii="华文仿宋" w:hAnsi="华文仿宋" w:eastAsia="华文仿宋" w:cs="华文仿宋"/>
          <w:kern w:val="2"/>
          <w:sz w:val="28"/>
          <w:szCs w:val="28"/>
          <w:lang w:val="en-US" w:eastAsia="zh-CN" w:bidi="ar-SA"/>
          <w14:ligatures w14:val="standardContextual"/>
        </w:rPr>
        <w:t>招标代理新增成功后，在澄清公告页面点击“编辑”按钮完善澄清内容。</w:t>
      </w:r>
    </w:p>
    <w:p w14:paraId="7811E2DC">
      <w:pPr>
        <w:pageBreakBefore w:val="0"/>
        <w:widowControl w:val="0"/>
        <w:numPr>
          <w:ilvl w:val="0"/>
          <w:numId w:val="13"/>
        </w:numPr>
        <w:kinsoku/>
        <w:wordWrap/>
        <w:overflowPunct/>
        <w:autoSpaceDE/>
        <w:autoSpaceDN/>
        <w:bidi w:val="0"/>
        <w:adjustRightInd/>
        <w:snapToGrid/>
        <w:ind w:left="0" w:leftChars="0" w:firstLine="560" w:firstLineChars="200"/>
        <w:rPr>
          <w:rFonts w:hint="default"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招标代理在澄清页面，可书写变更信息，可修改招标阶段的开标一栏表、招标明细、评标办法、变更附件等信息。</w:t>
      </w:r>
    </w:p>
    <w:p w14:paraId="12748721">
      <w:pPr>
        <w:pStyle w:val="2"/>
        <w:numPr>
          <w:ilvl w:val="0"/>
          <w:numId w:val="0"/>
        </w:numPr>
        <w:bidi w:val="0"/>
        <w:ind w:leftChars="0"/>
        <w:rPr>
          <w:rFonts w:hint="eastAsia"/>
          <w:lang w:val="en-US" w:eastAsia="zh-CN"/>
        </w:rPr>
      </w:pPr>
      <w:bookmarkStart w:id="48" w:name="_Toc8614"/>
      <w:r>
        <w:rPr>
          <w:rFonts w:hint="eastAsia" w:ascii="华文仿宋" w:hAnsi="华文仿宋" w:eastAsia="华文仿宋" w:cs="华文仿宋"/>
          <w:b/>
          <w:bCs/>
          <w:kern w:val="2"/>
          <w:sz w:val="32"/>
          <w:szCs w:val="32"/>
          <w:lang w:val="en-US" w:eastAsia="zh-CN" w:bidi="ar-SA"/>
          <w14:ligatures w14:val="none"/>
        </w:rPr>
        <w:t>十二、场地变更</w:t>
      </w:r>
      <w:bookmarkEnd w:id="48"/>
    </w:p>
    <w:p w14:paraId="2DCD05A3">
      <w:pPr>
        <w:pStyle w:val="3"/>
        <w:numPr>
          <w:ilvl w:val="1"/>
          <w:numId w:val="0"/>
        </w:numPr>
        <w:bidi w:val="0"/>
        <w:ind w:left="-141" w:leftChars="0"/>
        <w:rPr>
          <w:rFonts w:hint="eastAsia" w:ascii="华文仿宋" w:hAnsi="华文仿宋" w:eastAsia="华文仿宋" w:cs="华文仿宋"/>
          <w:lang w:val="en-US" w:eastAsia="zh-CN"/>
        </w:rPr>
      </w:pPr>
      <w:bookmarkStart w:id="49" w:name="_Toc26653"/>
      <w:r>
        <w:rPr>
          <w:rFonts w:hint="eastAsia" w:ascii="华文仿宋" w:hAnsi="华文仿宋" w:eastAsia="华文仿宋" w:cs="华文仿宋"/>
          <w:lang w:val="en-US" w:eastAsia="zh-CN"/>
        </w:rPr>
        <w:t>（一）功能介绍</w:t>
      </w:r>
      <w:bookmarkEnd w:id="49"/>
    </w:p>
    <w:p w14:paraId="1F911809">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招标代理可通过场地变更取消场地预约并重新约场地。</w:t>
      </w:r>
    </w:p>
    <w:p w14:paraId="5F0EE70A">
      <w:pPr>
        <w:pStyle w:val="3"/>
        <w:numPr>
          <w:ilvl w:val="1"/>
          <w:numId w:val="0"/>
        </w:numPr>
        <w:bidi w:val="0"/>
        <w:ind w:left="-141" w:leftChars="0"/>
        <w:rPr>
          <w:rFonts w:hint="eastAsia" w:ascii="华文仿宋" w:hAnsi="华文仿宋" w:eastAsia="华文仿宋" w:cs="华文仿宋"/>
          <w:lang w:val="en-US" w:eastAsia="zh-CN"/>
        </w:rPr>
      </w:pPr>
      <w:bookmarkStart w:id="50" w:name="_Toc12776"/>
      <w:r>
        <w:rPr>
          <w:rFonts w:hint="eastAsia" w:ascii="华文仿宋" w:hAnsi="华文仿宋" w:eastAsia="华文仿宋" w:cs="华文仿宋"/>
          <w:lang w:val="en-US" w:eastAsia="zh-CN"/>
        </w:rPr>
        <w:t>（二）具体操作</w:t>
      </w:r>
      <w:bookmarkEnd w:id="50"/>
    </w:p>
    <w:p w14:paraId="76E72E09">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1、招标代理点击右侧“业务变更”菜单，点击“场地变更”模块。</w:t>
      </w:r>
    </w:p>
    <w:p w14:paraId="0F05F053">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drawing>
          <wp:inline distT="0" distB="0" distL="114300" distR="114300">
            <wp:extent cx="5257800" cy="1395730"/>
            <wp:effectExtent l="0" t="0" r="0" b="1397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78"/>
                    <a:stretch>
                      <a:fillRect/>
                    </a:stretch>
                  </pic:blipFill>
                  <pic:spPr>
                    <a:xfrm>
                      <a:off x="0" y="0"/>
                      <a:ext cx="5257800" cy="1395730"/>
                    </a:xfrm>
                    <a:prstGeom prst="rect">
                      <a:avLst/>
                    </a:prstGeom>
                    <a:noFill/>
                    <a:ln>
                      <a:noFill/>
                    </a:ln>
                  </pic:spPr>
                </pic:pic>
              </a:graphicData>
            </a:graphic>
          </wp:inline>
        </w:drawing>
      </w:r>
    </w:p>
    <w:p w14:paraId="31A8820C">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2、招标代理点击“场地变更”菜单，在跳出页面中，需要先取消场地预约，再重新进行场地变更。</w:t>
      </w:r>
    </w:p>
    <w:p w14:paraId="6A3F3E64">
      <w:pPr>
        <w:pageBreakBefore w:val="0"/>
        <w:widowControl w:val="0"/>
        <w:kinsoku/>
        <w:wordWrap/>
        <w:overflowPunct/>
        <w:autoSpaceDE/>
        <w:autoSpaceDN/>
        <w:bidi w:val="0"/>
        <w:adjustRightInd/>
        <w:snapToGrid/>
        <w:ind w:left="0" w:leftChars="0" w:firstLine="0" w:firstLineChars="0"/>
        <w:rPr>
          <w:rFonts w:hint="eastAsia"/>
          <w:lang w:val="en-US" w:eastAsia="zh-CN"/>
        </w:rPr>
      </w:pPr>
      <w:r>
        <w:drawing>
          <wp:inline distT="0" distB="0" distL="114300" distR="114300">
            <wp:extent cx="5263515" cy="1640840"/>
            <wp:effectExtent l="0" t="0" r="13335" b="16510"/>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79"/>
                    <a:stretch>
                      <a:fillRect/>
                    </a:stretch>
                  </pic:blipFill>
                  <pic:spPr>
                    <a:xfrm>
                      <a:off x="0" y="0"/>
                      <a:ext cx="5263515" cy="1640840"/>
                    </a:xfrm>
                    <a:prstGeom prst="rect">
                      <a:avLst/>
                    </a:prstGeom>
                    <a:noFill/>
                    <a:ln>
                      <a:noFill/>
                    </a:ln>
                  </pic:spPr>
                </pic:pic>
              </a:graphicData>
            </a:graphic>
          </wp:inline>
        </w:drawing>
      </w:r>
    </w:p>
    <w:p w14:paraId="526D5077">
      <w:pPr>
        <w:pStyle w:val="2"/>
        <w:numPr>
          <w:ilvl w:val="0"/>
          <w:numId w:val="0"/>
        </w:numPr>
        <w:bidi w:val="0"/>
        <w:ind w:leftChars="0"/>
        <w:rPr>
          <w:rFonts w:hint="eastAsia"/>
          <w:lang w:val="en-US" w:eastAsia="zh-CN"/>
        </w:rPr>
      </w:pPr>
      <w:bookmarkStart w:id="51" w:name="_Toc7588"/>
      <w:r>
        <w:rPr>
          <w:rFonts w:hint="eastAsia" w:ascii="华文仿宋" w:hAnsi="华文仿宋" w:eastAsia="华文仿宋" w:cs="华文仿宋"/>
          <w:b/>
          <w:bCs/>
          <w:kern w:val="2"/>
          <w:sz w:val="32"/>
          <w:szCs w:val="32"/>
          <w:lang w:val="en-US" w:eastAsia="zh-CN" w:bidi="ar-SA"/>
          <w14:ligatures w14:val="none"/>
        </w:rPr>
        <w:t>十三、终止/废标公告</w:t>
      </w:r>
      <w:bookmarkEnd w:id="51"/>
    </w:p>
    <w:p w14:paraId="35DB20DF">
      <w:pPr>
        <w:pStyle w:val="3"/>
        <w:numPr>
          <w:ilvl w:val="1"/>
          <w:numId w:val="0"/>
        </w:numPr>
        <w:bidi w:val="0"/>
        <w:ind w:left="-141" w:leftChars="0"/>
        <w:rPr>
          <w:rFonts w:hint="eastAsia" w:ascii="华文仿宋" w:hAnsi="华文仿宋" w:eastAsia="华文仿宋" w:cs="华文仿宋"/>
          <w:lang w:val="en-US" w:eastAsia="zh-CN"/>
        </w:rPr>
      </w:pPr>
      <w:bookmarkStart w:id="52" w:name="_Toc23814"/>
      <w:r>
        <w:rPr>
          <w:rFonts w:hint="eastAsia" w:ascii="华文仿宋" w:hAnsi="华文仿宋" w:eastAsia="华文仿宋" w:cs="华文仿宋"/>
          <w:lang w:val="en-US" w:eastAsia="zh-CN"/>
        </w:rPr>
        <w:t>（一）功能介绍</w:t>
      </w:r>
      <w:bookmarkEnd w:id="52"/>
    </w:p>
    <w:p w14:paraId="25D51950">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招标代理通过业务变更发布终止公告（项目终止）或废标公告。</w:t>
      </w:r>
    </w:p>
    <w:p w14:paraId="0DC3AC8B">
      <w:pPr>
        <w:pStyle w:val="3"/>
        <w:numPr>
          <w:ilvl w:val="1"/>
          <w:numId w:val="0"/>
        </w:numPr>
        <w:bidi w:val="0"/>
        <w:ind w:left="-141" w:leftChars="0"/>
        <w:rPr>
          <w:rFonts w:hint="eastAsia" w:ascii="华文仿宋" w:hAnsi="华文仿宋" w:eastAsia="华文仿宋" w:cs="华文仿宋"/>
          <w:lang w:val="en-US" w:eastAsia="zh-CN"/>
        </w:rPr>
      </w:pPr>
      <w:bookmarkStart w:id="53" w:name="_Toc15699"/>
      <w:r>
        <w:rPr>
          <w:rFonts w:hint="eastAsia" w:ascii="华文仿宋" w:hAnsi="华文仿宋" w:eastAsia="华文仿宋" w:cs="华文仿宋"/>
          <w:lang w:val="en-US" w:eastAsia="zh-CN"/>
        </w:rPr>
        <w:t>（二）具体操作</w:t>
      </w:r>
      <w:bookmarkEnd w:id="53"/>
    </w:p>
    <w:p w14:paraId="622CCFA3">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1、招标代理点击右侧“业务变更”菜单，点击“终止公告”、“废标公告”模块。</w:t>
      </w:r>
    </w:p>
    <w:p w14:paraId="5EA18DAE">
      <w:pPr>
        <w:pageBreakBefore w:val="0"/>
        <w:widowControl w:val="0"/>
        <w:kinsoku/>
        <w:wordWrap/>
        <w:overflowPunct/>
        <w:autoSpaceDE/>
        <w:autoSpaceDN/>
        <w:bidi w:val="0"/>
        <w:adjustRightInd/>
        <w:snapToGrid/>
        <w:ind w:left="0" w:leftChars="0" w:firstLine="0" w:firstLineChars="0"/>
        <w:rPr>
          <w:sz w:val="21"/>
          <w:szCs w:val="21"/>
        </w:rPr>
      </w:pPr>
      <w:r>
        <w:drawing>
          <wp:inline distT="0" distB="0" distL="114300" distR="114300">
            <wp:extent cx="5261610" cy="1840865"/>
            <wp:effectExtent l="0" t="0" r="15240" b="6985"/>
            <wp:docPr id="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
                    <pic:cNvPicPr>
                      <a:picLocks noChangeAspect="1"/>
                    </pic:cNvPicPr>
                  </pic:nvPicPr>
                  <pic:blipFill>
                    <a:blip r:embed="rId80"/>
                    <a:stretch>
                      <a:fillRect/>
                    </a:stretch>
                  </pic:blipFill>
                  <pic:spPr>
                    <a:xfrm>
                      <a:off x="0" y="0"/>
                      <a:ext cx="5261610" cy="1840865"/>
                    </a:xfrm>
                    <a:prstGeom prst="rect">
                      <a:avLst/>
                    </a:prstGeom>
                    <a:noFill/>
                    <a:ln>
                      <a:noFill/>
                    </a:ln>
                  </pic:spPr>
                </pic:pic>
              </a:graphicData>
            </a:graphic>
          </wp:inline>
        </w:drawing>
      </w:r>
    </w:p>
    <w:p w14:paraId="4BCFA03C">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2、招标代理点击右侧“编辑”按钮，录入项目终止或废标原因。</w:t>
      </w:r>
    </w:p>
    <w:p w14:paraId="0E1FA8CB">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6690" cy="2311400"/>
            <wp:effectExtent l="0" t="0" r="10160" b="1270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81"/>
                    <a:stretch>
                      <a:fillRect/>
                    </a:stretch>
                  </pic:blipFill>
                  <pic:spPr>
                    <a:xfrm>
                      <a:off x="0" y="0"/>
                      <a:ext cx="5266690" cy="2311400"/>
                    </a:xfrm>
                    <a:prstGeom prst="rect">
                      <a:avLst/>
                    </a:prstGeom>
                    <a:noFill/>
                    <a:ln>
                      <a:noFill/>
                    </a:ln>
                  </pic:spPr>
                </pic:pic>
              </a:graphicData>
            </a:graphic>
          </wp:inline>
        </w:drawing>
      </w:r>
    </w:p>
    <w:p w14:paraId="4B955B6B">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3、招标代理根据项目情况完善好终止原因或废标原因。</w:t>
      </w:r>
    </w:p>
    <w:p w14:paraId="2D8806DE">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4150" cy="2087880"/>
            <wp:effectExtent l="0" t="0" r="12700" b="762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82"/>
                    <a:stretch>
                      <a:fillRect/>
                    </a:stretch>
                  </pic:blipFill>
                  <pic:spPr>
                    <a:xfrm>
                      <a:off x="0" y="0"/>
                      <a:ext cx="5264150" cy="2087880"/>
                    </a:xfrm>
                    <a:prstGeom prst="rect">
                      <a:avLst/>
                    </a:prstGeom>
                    <a:noFill/>
                    <a:ln>
                      <a:noFill/>
                    </a:ln>
                  </pic:spPr>
                </pic:pic>
              </a:graphicData>
            </a:graphic>
          </wp:inline>
        </w:drawing>
      </w:r>
    </w:p>
    <w:p w14:paraId="377B505D">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4、点击“预览”按钮，预览内容效果页面。</w:t>
      </w:r>
    </w:p>
    <w:p w14:paraId="1311A21D">
      <w:pPr>
        <w:pageBreakBefore w:val="0"/>
        <w:widowControl w:val="0"/>
        <w:kinsoku/>
        <w:wordWrap/>
        <w:overflowPunct/>
        <w:autoSpaceDE/>
        <w:autoSpaceDN/>
        <w:bidi w:val="0"/>
        <w:adjustRightInd/>
        <w:snapToGrid/>
        <w:ind w:left="0" w:leftChars="0" w:firstLine="0" w:firstLineChars="0"/>
      </w:pPr>
      <w:r>
        <w:drawing>
          <wp:inline distT="0" distB="0" distL="114300" distR="114300">
            <wp:extent cx="5270500" cy="2157730"/>
            <wp:effectExtent l="0" t="0" r="6350" b="1397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83"/>
                    <a:stretch>
                      <a:fillRect/>
                    </a:stretch>
                  </pic:blipFill>
                  <pic:spPr>
                    <a:xfrm>
                      <a:off x="0" y="0"/>
                      <a:ext cx="5270500" cy="2157730"/>
                    </a:xfrm>
                    <a:prstGeom prst="rect">
                      <a:avLst/>
                    </a:prstGeom>
                    <a:noFill/>
                    <a:ln>
                      <a:noFill/>
                    </a:ln>
                  </pic:spPr>
                </pic:pic>
              </a:graphicData>
            </a:graphic>
          </wp:inline>
        </w:drawing>
      </w:r>
    </w:p>
    <w:p w14:paraId="3E9C6056">
      <w:pPr>
        <w:pageBreakBefore w:val="0"/>
        <w:widowControl w:val="0"/>
        <w:kinsoku/>
        <w:wordWrap/>
        <w:overflowPunct/>
        <w:autoSpaceDE/>
        <w:autoSpaceDN/>
        <w:bidi w:val="0"/>
        <w:adjustRightInd/>
        <w:snapToGrid/>
        <w:ind w:firstLine="420"/>
        <w:rPr>
          <w:rFonts w:hint="eastAsia"/>
          <w:lang w:val="en-US" w:eastAsia="zh-CN"/>
        </w:rPr>
      </w:pPr>
      <w:r>
        <w:rPr>
          <w:rFonts w:hint="eastAsia" w:ascii="华文仿宋" w:hAnsi="华文仿宋" w:eastAsia="华文仿宋" w:cs="华文仿宋"/>
          <w:kern w:val="2"/>
          <w:sz w:val="28"/>
          <w:szCs w:val="28"/>
          <w:lang w:val="en-US" w:eastAsia="zh-CN" w:bidi="ar-SA"/>
          <w14:ligatures w14:val="standardContextual"/>
        </w:rPr>
        <w:t>5、点击“提交”按钮后等待监督审核，审核通过后将终止公告或废标公告对外公示。</w:t>
      </w:r>
    </w:p>
    <w:p w14:paraId="5F5DB89F">
      <w:pPr>
        <w:bidi w:val="0"/>
        <w:ind w:left="0" w:leftChars="0" w:firstLine="0" w:firstLineChars="0"/>
        <w:rPr>
          <w:rFonts w:hint="default"/>
          <w:lang w:val="en-US" w:eastAsia="zh-CN"/>
        </w:rPr>
      </w:pPr>
    </w:p>
    <w:p w14:paraId="6C5E9393">
      <w:pPr>
        <w:bidi w:val="0"/>
        <w:ind w:left="0" w:leftChars="0" w:firstLine="0" w:firstLineChars="0"/>
        <w:rPr>
          <w:rFonts w:hint="default"/>
          <w:lang w:val="en-US" w:eastAsia="zh-CN"/>
        </w:rPr>
      </w:pPr>
    </w:p>
    <w:p w14:paraId="0CC6332C">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十三、预审开标</w:t>
      </w:r>
    </w:p>
    <w:p w14:paraId="21B69D1C">
      <w:pPr>
        <w:rPr>
          <w:rFonts w:hint="default"/>
          <w:lang w:val="en-US" w:eastAsia="zh-CN"/>
        </w:rPr>
      </w:pPr>
      <w:r>
        <w:rPr>
          <w:rFonts w:hint="eastAsia"/>
          <w:lang w:val="en-US" w:eastAsia="zh-CN"/>
        </w:rPr>
        <w:t>若项目不是预审项目可直接查看“十四、开标”</w:t>
      </w:r>
    </w:p>
    <w:p w14:paraId="51428219">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（一）开标准备</w:t>
      </w:r>
    </w:p>
    <w:p w14:paraId="259BFCE3">
      <w:pPr>
        <w:rPr>
          <w:rFonts w:hint="default"/>
          <w:lang w:val="en-US" w:eastAsia="zh-CN"/>
        </w:rPr>
      </w:pPr>
      <w:r>
        <w:rPr>
          <w:rFonts w:hint="eastAsia"/>
          <w:lang w:val="en-US" w:eastAsia="zh-CN"/>
        </w:rPr>
        <w:t>招标代理需进入济南公共资源交易电子平台，点击左侧菜单的“开标”进入开标列表。找到要开标的预审项目点击进入开标界面。填写项目概况</w:t>
      </w:r>
    </w:p>
    <w:p w14:paraId="40D76A5F">
      <w:pPr>
        <w:rPr>
          <w:rFonts w:hint="default"/>
          <w:lang w:val="en-US" w:eastAsia="zh-CN"/>
        </w:rPr>
      </w:pPr>
      <w:r>
        <w:rPr>
          <w:rFonts w:hint="default"/>
          <w:lang w:val="en-US" w:eastAsia="zh-CN"/>
        </w:rPr>
        <w:drawing>
          <wp:inline distT="0" distB="0" distL="114300" distR="114300">
            <wp:extent cx="5261610" cy="2622550"/>
            <wp:effectExtent l="0" t="0" r="8890" b="12700"/>
            <wp:docPr id="28" name="图片 28" descr="企业微信截图_176309875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企业微信截图_17630987537512"/>
                    <pic:cNvPicPr>
                      <a:picLocks noChangeAspect="1"/>
                    </pic:cNvPicPr>
                  </pic:nvPicPr>
                  <pic:blipFill>
                    <a:blip r:embed="rId84"/>
                    <a:stretch>
                      <a:fillRect/>
                    </a:stretch>
                  </pic:blipFill>
                  <pic:spPr>
                    <a:xfrm>
                      <a:off x="0" y="0"/>
                      <a:ext cx="5261610" cy="2622550"/>
                    </a:xfrm>
                    <a:prstGeom prst="rect">
                      <a:avLst/>
                    </a:prstGeom>
                  </pic:spPr>
                </pic:pic>
              </a:graphicData>
            </a:graphic>
          </wp:inline>
        </w:drawing>
      </w:r>
    </w:p>
    <w:p w14:paraId="70120AB9">
      <w:r>
        <w:drawing>
          <wp:inline distT="0" distB="0" distL="114300" distR="114300">
            <wp:extent cx="5254625" cy="1696720"/>
            <wp:effectExtent l="9525" t="9525" r="22225" b="241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85"/>
                    <a:stretch>
                      <a:fillRect/>
                    </a:stretch>
                  </pic:blipFill>
                  <pic:spPr>
                    <a:xfrm>
                      <a:off x="0" y="0"/>
                      <a:ext cx="5254625" cy="1696720"/>
                    </a:xfrm>
                    <a:prstGeom prst="rect">
                      <a:avLst/>
                    </a:prstGeom>
                    <a:noFill/>
                    <a:ln w="9525" cap="flat" cmpd="sng">
                      <a:solidFill>
                        <a:srgbClr val="4F81BD"/>
                      </a:solidFill>
                      <a:prstDash val="solid"/>
                      <a:miter/>
                      <a:headEnd type="none" w="med" len="med"/>
                      <a:tailEnd type="none" w="med" len="med"/>
                    </a:ln>
                  </pic:spPr>
                </pic:pic>
              </a:graphicData>
            </a:graphic>
          </wp:inline>
        </w:drawing>
      </w:r>
    </w:p>
    <w:p w14:paraId="122FFA00">
      <w:r>
        <w:drawing>
          <wp:inline distT="0" distB="0" distL="114300" distR="114300">
            <wp:extent cx="5261610" cy="2562225"/>
            <wp:effectExtent l="0" t="0" r="8890" b="952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86"/>
                    <a:stretch>
                      <a:fillRect/>
                    </a:stretch>
                  </pic:blipFill>
                  <pic:spPr>
                    <a:xfrm>
                      <a:off x="0" y="0"/>
                      <a:ext cx="5261610" cy="2562225"/>
                    </a:xfrm>
                    <a:prstGeom prst="rect">
                      <a:avLst/>
                    </a:prstGeom>
                    <a:noFill/>
                    <a:ln>
                      <a:noFill/>
                    </a:ln>
                  </pic:spPr>
                </pic:pic>
              </a:graphicData>
            </a:graphic>
          </wp:inline>
        </w:drawing>
      </w:r>
    </w:p>
    <w:p w14:paraId="5041A37A">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（二）开始开标</w:t>
      </w:r>
    </w:p>
    <w:p w14:paraId="1D8834C3">
      <w:pPr>
        <w:rPr>
          <w:rFonts w:hint="default"/>
          <w:lang w:val="en-US" w:eastAsia="zh-CN"/>
        </w:rPr>
      </w:pPr>
      <w:r>
        <w:rPr>
          <w:rFonts w:hint="eastAsia"/>
          <w:lang w:val="en-US" w:eastAsia="zh-CN"/>
        </w:rPr>
        <w:t>开标倒计时结束后在“开始开标”节点中点击“启动网上解密”，即可向所有签到单位发起解密申请。</w:t>
      </w:r>
    </w:p>
    <w:p w14:paraId="282F1616"/>
    <w:p w14:paraId="50D5B609">
      <w:pPr>
        <w:rPr>
          <w:rFonts w:hint="eastAsia" w:eastAsia="宋体"/>
          <w:lang w:val="en-US" w:eastAsia="zh-CN"/>
        </w:rPr>
      </w:pPr>
      <w:r>
        <w:rPr>
          <w:rFonts w:hint="eastAsia" w:eastAsia="宋体"/>
          <w:lang w:val="en-US" w:eastAsia="zh-CN"/>
        </w:rPr>
        <w:drawing>
          <wp:inline distT="0" distB="0" distL="114300" distR="114300">
            <wp:extent cx="5261610" cy="2622550"/>
            <wp:effectExtent l="0" t="0" r="8890" b="12700"/>
            <wp:docPr id="51" name="图片 51" descr="企业微信截图_1763099264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企业微信截图_17630992647988"/>
                    <pic:cNvPicPr>
                      <a:picLocks noChangeAspect="1"/>
                    </pic:cNvPicPr>
                  </pic:nvPicPr>
                  <pic:blipFill>
                    <a:blip r:embed="rId87"/>
                    <a:stretch>
                      <a:fillRect/>
                    </a:stretch>
                  </pic:blipFill>
                  <pic:spPr>
                    <a:xfrm>
                      <a:off x="0" y="0"/>
                      <a:ext cx="5261610" cy="2622550"/>
                    </a:xfrm>
                    <a:prstGeom prst="rect">
                      <a:avLst/>
                    </a:prstGeom>
                  </pic:spPr>
                </pic:pic>
              </a:graphicData>
            </a:graphic>
          </wp:inline>
        </w:drawing>
      </w:r>
    </w:p>
    <w:p w14:paraId="217DA94B">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（三）解密投标文件</w:t>
      </w:r>
    </w:p>
    <w:p w14:paraId="7CED14E2">
      <w:pPr>
        <w:rPr>
          <w:rFonts w:hint="eastAsia"/>
          <w:lang w:val="en-US" w:eastAsia="zh-CN"/>
        </w:rPr>
      </w:pPr>
      <w:r>
        <w:rPr>
          <w:rFonts w:hint="eastAsia"/>
          <w:lang w:val="en-US" w:eastAsia="zh-CN"/>
        </w:rPr>
        <w:t>在解密投标文件界面右上角显示投标人的签到家数、申请解密家数和解密完成家数。</w:t>
      </w:r>
    </w:p>
    <w:p w14:paraId="0AA8E887">
      <w:pPr>
        <w:ind w:left="0" w:leftChars="0" w:firstLine="0" w:firstLineChars="0"/>
        <w:rPr>
          <w:rFonts w:hint="eastAsia"/>
          <w:lang w:val="en-US" w:eastAsia="zh-CN"/>
        </w:rPr>
      </w:pPr>
      <w:r>
        <w:rPr>
          <w:rFonts w:hint="eastAsia"/>
          <w:lang w:val="en-US" w:eastAsia="zh-CN"/>
        </w:rPr>
        <w:t>投标单位需在中间解密倒计时结束之前发起解密。招标文件阶段选择有限数量制的项目可根据最终解密家数设置资格预审方式，也可以不修改。</w:t>
      </w:r>
    </w:p>
    <w:p w14:paraId="3DEFAE4F">
      <w:pPr>
        <w:ind w:left="0" w:leftChars="0" w:firstLine="0" w:firstLineChars="0"/>
        <w:rPr>
          <w:rFonts w:hint="default"/>
          <w:lang w:val="en-US" w:eastAsia="zh-CN"/>
        </w:rPr>
      </w:pPr>
    </w:p>
    <w:p w14:paraId="193527B2">
      <w:pPr>
        <w:rPr>
          <w:rFonts w:hint="eastAsia" w:eastAsia="宋体"/>
          <w:lang w:val="en-US" w:eastAsia="zh-CN"/>
        </w:rPr>
      </w:pPr>
      <w:r>
        <w:rPr>
          <w:rFonts w:hint="eastAsia" w:eastAsia="宋体"/>
          <w:lang w:val="en-US" w:eastAsia="zh-CN"/>
        </w:rPr>
        <w:drawing>
          <wp:inline distT="0" distB="0" distL="114300" distR="114300">
            <wp:extent cx="5261610" cy="1864360"/>
            <wp:effectExtent l="0" t="0" r="8890" b="8890"/>
            <wp:docPr id="53" name="图片 53" descr="企业微信截图_176309930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企业微信截图_17630993042722"/>
                    <pic:cNvPicPr>
                      <a:picLocks noChangeAspect="1"/>
                    </pic:cNvPicPr>
                  </pic:nvPicPr>
                  <pic:blipFill>
                    <a:blip r:embed="rId88"/>
                    <a:stretch>
                      <a:fillRect/>
                    </a:stretch>
                  </pic:blipFill>
                  <pic:spPr>
                    <a:xfrm>
                      <a:off x="0" y="0"/>
                      <a:ext cx="5261610" cy="1864360"/>
                    </a:xfrm>
                    <a:prstGeom prst="rect">
                      <a:avLst/>
                    </a:prstGeom>
                  </pic:spPr>
                </pic:pic>
              </a:graphicData>
            </a:graphic>
          </wp:inline>
        </w:drawing>
      </w:r>
    </w:p>
    <w:p w14:paraId="125A2574">
      <w:pPr>
        <w:rPr>
          <w:rFonts w:ascii="宋体" w:hAnsi="宋体" w:eastAsia="宋体" w:cs="宋体"/>
          <w:sz w:val="24"/>
          <w:szCs w:val="24"/>
        </w:rPr>
      </w:pPr>
      <w:r>
        <w:rPr>
          <w:rFonts w:ascii="宋体" w:hAnsi="宋体" w:eastAsia="宋体" w:cs="宋体"/>
          <w:sz w:val="24"/>
          <w:szCs w:val="24"/>
        </w:rPr>
        <w:drawing>
          <wp:inline distT="0" distB="0" distL="114300" distR="114300">
            <wp:extent cx="5095875" cy="2924175"/>
            <wp:effectExtent l="0" t="0" r="0" b="1270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89"/>
                    <a:stretch>
                      <a:fillRect/>
                    </a:stretch>
                  </pic:blipFill>
                  <pic:spPr>
                    <a:xfrm>
                      <a:off x="0" y="0"/>
                      <a:ext cx="5095875" cy="2924175"/>
                    </a:xfrm>
                    <a:prstGeom prst="rect">
                      <a:avLst/>
                    </a:prstGeom>
                    <a:noFill/>
                    <a:ln w="9525">
                      <a:noFill/>
                    </a:ln>
                  </pic:spPr>
                </pic:pic>
              </a:graphicData>
            </a:graphic>
          </wp:inline>
        </w:drawing>
      </w:r>
    </w:p>
    <w:p w14:paraId="478017C7">
      <w:pPr>
        <w:pStyle w:val="3"/>
        <w:numPr>
          <w:ilvl w:val="1"/>
          <w:numId w:val="0"/>
        </w:numPr>
        <w:bidi w:val="0"/>
        <w:ind w:left="-141" w:leftChars="0"/>
      </w:pPr>
      <w:r>
        <w:rPr>
          <w:rFonts w:hint="eastAsia" w:ascii="华文仿宋" w:hAnsi="华文仿宋" w:eastAsia="华文仿宋" w:cs="华文仿宋"/>
          <w:lang w:val="en-US" w:eastAsia="zh-CN"/>
        </w:rPr>
        <w:t>（四）开标结束</w:t>
      </w:r>
    </w:p>
    <w:p w14:paraId="48F0B109">
      <w:pPr>
        <w:ind w:left="0" w:leftChars="0" w:firstLine="0" w:firstLineChars="0"/>
        <w:rPr>
          <w:rFonts w:hint="eastAsia"/>
          <w:lang w:val="en-US" w:eastAsia="zh-CN"/>
        </w:rPr>
      </w:pPr>
      <w:r>
        <w:rPr>
          <w:rFonts w:hint="eastAsia"/>
          <w:lang w:val="en-US" w:eastAsia="zh-CN"/>
        </w:rPr>
        <w:t>点击开标结束则整个预审</w:t>
      </w:r>
      <w:bookmarkStart w:id="54" w:name="_GoBack"/>
      <w:bookmarkEnd w:id="54"/>
      <w:r>
        <w:rPr>
          <w:rFonts w:hint="eastAsia"/>
          <w:lang w:val="en-US" w:eastAsia="zh-CN"/>
        </w:rPr>
        <w:t>开标流程完成。</w:t>
      </w:r>
    </w:p>
    <w:p w14:paraId="3E7A59B6">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1610" cy="2622550"/>
            <wp:effectExtent l="0" t="0" r="8890" b="12700"/>
            <wp:docPr id="57" name="图片 57" descr="企业微信截图_1763099532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企业微信截图_17630995326059"/>
                    <pic:cNvPicPr>
                      <a:picLocks noChangeAspect="1"/>
                    </pic:cNvPicPr>
                  </pic:nvPicPr>
                  <pic:blipFill>
                    <a:blip r:embed="rId90"/>
                    <a:stretch>
                      <a:fillRect/>
                    </a:stretch>
                  </pic:blipFill>
                  <pic:spPr>
                    <a:xfrm>
                      <a:off x="0" y="0"/>
                      <a:ext cx="5261610" cy="2622550"/>
                    </a:xfrm>
                    <a:prstGeom prst="rect">
                      <a:avLst/>
                    </a:prstGeom>
                  </pic:spPr>
                </pic:pic>
              </a:graphicData>
            </a:graphic>
          </wp:inline>
        </w:drawing>
      </w:r>
    </w:p>
    <w:p w14:paraId="26CF011A">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十四、开标</w:t>
      </w:r>
    </w:p>
    <w:p w14:paraId="31C3DE5C">
      <w:pPr>
        <w:pStyle w:val="3"/>
        <w:numPr>
          <w:ilvl w:val="1"/>
          <w:numId w:val="0"/>
        </w:numPr>
        <w:bidi w:val="0"/>
        <w:ind w:left="-141" w:leftChars="0"/>
        <w:rPr>
          <w:rFonts w:hint="default" w:ascii="华文仿宋" w:hAnsi="华文仿宋" w:eastAsia="华文仿宋" w:cs="华文仿宋"/>
          <w:lang w:val="en-US" w:eastAsia="zh-CN"/>
        </w:rPr>
      </w:pPr>
      <w:r>
        <w:rPr>
          <w:rFonts w:hint="eastAsia" w:ascii="华文仿宋" w:hAnsi="华文仿宋" w:eastAsia="华文仿宋" w:cs="华文仿宋"/>
          <w:lang w:val="en-US" w:eastAsia="zh-CN"/>
        </w:rPr>
        <w:t>（一）开标准备</w:t>
      </w:r>
    </w:p>
    <w:p w14:paraId="2025FACF">
      <w:pPr>
        <w:rPr>
          <w:rFonts w:hint="default"/>
          <w:lang w:val="en-US" w:eastAsia="zh-CN"/>
        </w:rPr>
      </w:pPr>
      <w:r>
        <w:rPr>
          <w:rFonts w:hint="eastAsia"/>
          <w:lang w:val="en-US" w:eastAsia="zh-CN"/>
        </w:rPr>
        <w:t>招标代理需进入济南公共资源交易电子平台，点击左侧菜单的“开标”进入开标列表。找到要开标的项目点击进入开标界面。</w:t>
      </w:r>
    </w:p>
    <w:p w14:paraId="0D863D61">
      <w:pPr>
        <w:ind w:left="0" w:leftChars="0" w:firstLine="0" w:firstLineChars="0"/>
        <w:rPr>
          <w:rFonts w:hint="default"/>
          <w:lang w:val="en-US" w:eastAsia="zh-CN"/>
        </w:rPr>
      </w:pPr>
      <w:r>
        <w:drawing>
          <wp:inline distT="0" distB="0" distL="114300" distR="114300">
            <wp:extent cx="5266055" cy="2488565"/>
            <wp:effectExtent l="9525" t="9525" r="10795" b="1016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91"/>
                    <a:stretch>
                      <a:fillRect/>
                    </a:stretch>
                  </pic:blipFill>
                  <pic:spPr>
                    <a:xfrm>
                      <a:off x="0" y="0"/>
                      <a:ext cx="5266055" cy="2488565"/>
                    </a:xfrm>
                    <a:prstGeom prst="rect">
                      <a:avLst/>
                    </a:prstGeom>
                    <a:noFill/>
                    <a:ln w="9525" cap="flat" cmpd="sng">
                      <a:solidFill>
                        <a:srgbClr val="4F81BD"/>
                      </a:solidFill>
                      <a:prstDash val="solid"/>
                      <a:miter/>
                      <a:headEnd type="none" w="med" len="med"/>
                      <a:tailEnd type="none" w="med" len="med"/>
                    </a:ln>
                  </pic:spPr>
                </pic:pic>
              </a:graphicData>
            </a:graphic>
          </wp:inline>
        </w:drawing>
      </w:r>
    </w:p>
    <w:p w14:paraId="12B2DDF5">
      <w:pPr>
        <w:ind w:left="0" w:leftChars="0" w:firstLine="0" w:firstLineChars="0"/>
      </w:pPr>
      <w:r>
        <w:drawing>
          <wp:inline distT="0" distB="0" distL="114300" distR="114300">
            <wp:extent cx="5254625" cy="1697355"/>
            <wp:effectExtent l="9525" t="9525" r="22225" b="2349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2"/>
                    <a:stretch>
                      <a:fillRect/>
                    </a:stretch>
                  </pic:blipFill>
                  <pic:spPr>
                    <a:xfrm>
                      <a:off x="0" y="0"/>
                      <a:ext cx="5254625" cy="1697355"/>
                    </a:xfrm>
                    <a:prstGeom prst="rect">
                      <a:avLst/>
                    </a:prstGeom>
                    <a:noFill/>
                    <a:ln w="9525" cap="flat" cmpd="sng">
                      <a:solidFill>
                        <a:srgbClr val="4F81BD"/>
                      </a:solidFill>
                      <a:prstDash val="solid"/>
                      <a:miter/>
                      <a:headEnd type="none" w="med" len="med"/>
                      <a:tailEnd type="none" w="med" len="med"/>
                    </a:ln>
                  </pic:spPr>
                </pic:pic>
              </a:graphicData>
            </a:graphic>
          </wp:inline>
        </w:drawing>
      </w:r>
    </w:p>
    <w:p w14:paraId="2E336888">
      <w:pPr>
        <w:ind w:left="0" w:leftChars="0" w:firstLine="0" w:firstLineChars="0"/>
        <w:rPr>
          <w:rFonts w:hint="default"/>
          <w:lang w:val="en-US" w:eastAsia="zh-CN"/>
        </w:rPr>
      </w:pPr>
      <w:r>
        <w:rPr>
          <w:rFonts w:hint="eastAsia"/>
          <w:lang w:val="en-US" w:eastAsia="zh-CN"/>
        </w:rPr>
        <w:t>如果项目需要缴纳保证金需要先在保证金管理中维护保证金信息，点击查看缴纳者后对保证金信息进行维护，确认完成后点击提交。</w:t>
      </w:r>
    </w:p>
    <w:p w14:paraId="59307BE3">
      <w:pPr>
        <w:ind w:left="0" w:leftChars="0" w:firstLine="0" w:firstLineChars="0"/>
      </w:pPr>
      <w:r>
        <w:drawing>
          <wp:inline distT="0" distB="0" distL="114300" distR="114300">
            <wp:extent cx="5261610" cy="1811020"/>
            <wp:effectExtent l="0" t="0" r="8890" b="146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3"/>
                    <a:stretch>
                      <a:fillRect/>
                    </a:stretch>
                  </pic:blipFill>
                  <pic:spPr>
                    <a:xfrm>
                      <a:off x="0" y="0"/>
                      <a:ext cx="5261610" cy="1811020"/>
                    </a:xfrm>
                    <a:prstGeom prst="rect">
                      <a:avLst/>
                    </a:prstGeom>
                    <a:noFill/>
                    <a:ln>
                      <a:noFill/>
                    </a:ln>
                  </pic:spPr>
                </pic:pic>
              </a:graphicData>
            </a:graphic>
          </wp:inline>
        </w:drawing>
      </w:r>
    </w:p>
    <w:p w14:paraId="2451B758">
      <w:pPr>
        <w:ind w:left="0" w:leftChars="0" w:firstLine="0" w:firstLineChars="0"/>
        <w:rPr>
          <w:rFonts w:hint="default"/>
          <w:lang w:val="en-US" w:eastAsia="zh-CN"/>
        </w:rPr>
      </w:pPr>
      <w:r>
        <w:rPr>
          <w:rFonts w:hint="eastAsia"/>
          <w:lang w:val="en-US" w:eastAsia="zh-CN"/>
        </w:rPr>
        <w:t>如不需要缴纳保证金可直接点击进入，进入开标界面，填写项目概况信息。</w:t>
      </w:r>
    </w:p>
    <w:p w14:paraId="72B11789">
      <w:pPr>
        <w:ind w:left="0" w:leftChars="0" w:firstLine="0" w:firstLineChars="0"/>
      </w:pPr>
      <w:r>
        <w:drawing>
          <wp:inline distT="0" distB="0" distL="114300" distR="114300">
            <wp:extent cx="5258435" cy="2558415"/>
            <wp:effectExtent l="0" t="0" r="12065" b="133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4"/>
                    <a:stretch>
                      <a:fillRect/>
                    </a:stretch>
                  </pic:blipFill>
                  <pic:spPr>
                    <a:xfrm>
                      <a:off x="0" y="0"/>
                      <a:ext cx="5258435" cy="2558415"/>
                    </a:xfrm>
                    <a:prstGeom prst="rect">
                      <a:avLst/>
                    </a:prstGeom>
                    <a:noFill/>
                    <a:ln>
                      <a:noFill/>
                    </a:ln>
                  </pic:spPr>
                </pic:pic>
              </a:graphicData>
            </a:graphic>
          </wp:inline>
        </w:drawing>
      </w:r>
    </w:p>
    <w:p w14:paraId="5B76DFD6">
      <w:pPr>
        <w:ind w:left="0" w:leftChars="0" w:firstLine="0" w:firstLineChars="0"/>
      </w:pPr>
      <w:r>
        <w:drawing>
          <wp:inline distT="0" distB="0" distL="114300" distR="114300">
            <wp:extent cx="5261610" cy="2562225"/>
            <wp:effectExtent l="0" t="0" r="8890"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86"/>
                    <a:stretch>
                      <a:fillRect/>
                    </a:stretch>
                  </pic:blipFill>
                  <pic:spPr>
                    <a:xfrm>
                      <a:off x="0" y="0"/>
                      <a:ext cx="5261610" cy="2562225"/>
                    </a:xfrm>
                    <a:prstGeom prst="rect">
                      <a:avLst/>
                    </a:prstGeom>
                    <a:noFill/>
                    <a:ln>
                      <a:noFill/>
                    </a:ln>
                  </pic:spPr>
                </pic:pic>
              </a:graphicData>
            </a:graphic>
          </wp:inline>
        </w:drawing>
      </w:r>
    </w:p>
    <w:p w14:paraId="4C027E31">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（二）开始开标</w:t>
      </w:r>
    </w:p>
    <w:p w14:paraId="35274443">
      <w:pPr>
        <w:rPr>
          <w:rFonts w:hint="default"/>
          <w:lang w:val="en-US" w:eastAsia="zh-CN"/>
        </w:rPr>
      </w:pPr>
      <w:r>
        <w:rPr>
          <w:rFonts w:hint="eastAsia"/>
          <w:lang w:val="en-US" w:eastAsia="zh-CN"/>
        </w:rPr>
        <w:t>开标倒计时结束后在“开始开标”节点中点击“启动网上解密”，即可向所有签到单位发起解密申请。</w:t>
      </w:r>
    </w:p>
    <w:p w14:paraId="3A7B24E1">
      <w:pPr>
        <w:ind w:left="0" w:leftChars="0" w:firstLine="0" w:firstLineChars="0"/>
      </w:pPr>
      <w:r>
        <w:drawing>
          <wp:inline distT="0" distB="0" distL="114300" distR="114300">
            <wp:extent cx="5261610" cy="2562860"/>
            <wp:effectExtent l="0" t="0" r="8890" b="889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95"/>
                    <a:stretch>
                      <a:fillRect/>
                    </a:stretch>
                  </pic:blipFill>
                  <pic:spPr>
                    <a:xfrm>
                      <a:off x="0" y="0"/>
                      <a:ext cx="5261610" cy="2562860"/>
                    </a:xfrm>
                    <a:prstGeom prst="rect">
                      <a:avLst/>
                    </a:prstGeom>
                    <a:noFill/>
                    <a:ln>
                      <a:noFill/>
                    </a:ln>
                  </pic:spPr>
                </pic:pic>
              </a:graphicData>
            </a:graphic>
          </wp:inline>
        </w:drawing>
      </w:r>
    </w:p>
    <w:p w14:paraId="087A664C">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（三）解密投标文件</w:t>
      </w:r>
    </w:p>
    <w:p w14:paraId="1C84C752">
      <w:pPr>
        <w:rPr>
          <w:rFonts w:hint="eastAsia"/>
          <w:lang w:val="en-US" w:eastAsia="zh-CN"/>
        </w:rPr>
      </w:pPr>
      <w:r>
        <w:rPr>
          <w:rFonts w:hint="eastAsia"/>
          <w:lang w:val="en-US" w:eastAsia="zh-CN"/>
        </w:rPr>
        <w:t>在解密投标文件界面右上角显示投标人的签到家数、申请解密家数和解密完成家数。</w:t>
      </w:r>
    </w:p>
    <w:p w14:paraId="3F35A373">
      <w:pPr>
        <w:ind w:left="0" w:leftChars="0" w:firstLine="0" w:firstLineChars="0"/>
        <w:rPr>
          <w:rFonts w:hint="default"/>
          <w:lang w:val="en-US" w:eastAsia="zh-CN"/>
        </w:rPr>
      </w:pPr>
      <w:r>
        <w:rPr>
          <w:rFonts w:hint="eastAsia"/>
          <w:lang w:val="en-US" w:eastAsia="zh-CN"/>
        </w:rPr>
        <w:t>投标单位需在中间解密倒计时结束之前发起解密，若解密家数符合法定要求，则会显示“启动在线唱标按钮”，点击可进入下一步</w:t>
      </w:r>
    </w:p>
    <w:p w14:paraId="50D9C794">
      <w:pPr>
        <w:ind w:left="0" w:leftChars="0" w:firstLine="0" w:firstLineChars="0"/>
      </w:pPr>
      <w:r>
        <w:drawing>
          <wp:inline distT="0" distB="0" distL="114300" distR="114300">
            <wp:extent cx="5261610" cy="2562225"/>
            <wp:effectExtent l="0" t="0" r="8890"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96"/>
                    <a:stretch>
                      <a:fillRect/>
                    </a:stretch>
                  </pic:blipFill>
                  <pic:spPr>
                    <a:xfrm>
                      <a:off x="0" y="0"/>
                      <a:ext cx="5261610" cy="2562225"/>
                    </a:xfrm>
                    <a:prstGeom prst="rect">
                      <a:avLst/>
                    </a:prstGeom>
                    <a:noFill/>
                    <a:ln>
                      <a:noFill/>
                    </a:ln>
                  </pic:spPr>
                </pic:pic>
              </a:graphicData>
            </a:graphic>
          </wp:inline>
        </w:drawing>
      </w:r>
    </w:p>
    <w:p w14:paraId="026E897A">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（四）公开唱标</w:t>
      </w:r>
    </w:p>
    <w:p w14:paraId="71069B56">
      <w:pPr>
        <w:rPr>
          <w:rFonts w:hint="default"/>
          <w:lang w:val="en-US" w:eastAsia="zh-CN"/>
        </w:rPr>
      </w:pPr>
    </w:p>
    <w:p w14:paraId="4B317BE4">
      <w:pPr>
        <w:ind w:left="0" w:leftChars="0" w:firstLine="0" w:firstLineChars="0"/>
        <w:rPr>
          <w:rFonts w:hint="default"/>
          <w:lang w:val="en-US" w:eastAsia="zh-CN"/>
        </w:rPr>
      </w:pPr>
      <w:r>
        <w:rPr>
          <w:rFonts w:hint="eastAsia"/>
          <w:lang w:val="en-US" w:eastAsia="zh-CN"/>
        </w:rPr>
        <w:t>.在公开唱标环节，可以看到各单位的唱标单，点击“查看公示内容”可以查看每个单位上传的业绩、获奖、项目班子成员情况。点击唱标结束可进入下一环节</w:t>
      </w:r>
    </w:p>
    <w:p w14:paraId="3B252985">
      <w:pPr>
        <w:ind w:left="0" w:leftChars="0" w:firstLine="0" w:firstLineChars="0"/>
        <w:rPr>
          <w:rFonts w:hint="default"/>
          <w:lang w:val="en-US" w:eastAsia="zh-CN"/>
        </w:rPr>
      </w:pPr>
    </w:p>
    <w:p w14:paraId="63374730">
      <w:pPr>
        <w:ind w:left="0" w:leftChars="0" w:firstLine="0" w:firstLineChars="0"/>
      </w:pPr>
      <w:r>
        <w:drawing>
          <wp:inline distT="0" distB="0" distL="114300" distR="114300">
            <wp:extent cx="5261610" cy="2562860"/>
            <wp:effectExtent l="0" t="0" r="8890" b="889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97"/>
                    <a:stretch>
                      <a:fillRect/>
                    </a:stretch>
                  </pic:blipFill>
                  <pic:spPr>
                    <a:xfrm>
                      <a:off x="0" y="0"/>
                      <a:ext cx="5261610" cy="2562860"/>
                    </a:xfrm>
                    <a:prstGeom prst="rect">
                      <a:avLst/>
                    </a:prstGeom>
                    <a:noFill/>
                    <a:ln>
                      <a:noFill/>
                    </a:ln>
                  </pic:spPr>
                </pic:pic>
              </a:graphicData>
            </a:graphic>
          </wp:inline>
        </w:drawing>
      </w:r>
    </w:p>
    <w:p w14:paraId="6573EFBA">
      <w:pPr>
        <w:ind w:left="0" w:leftChars="0" w:firstLine="0" w:firstLineChars="0"/>
      </w:pPr>
      <w:r>
        <w:drawing>
          <wp:inline distT="0" distB="0" distL="114300" distR="114300">
            <wp:extent cx="5261610" cy="2562860"/>
            <wp:effectExtent l="0" t="0" r="8890" b="889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98"/>
                    <a:stretch>
                      <a:fillRect/>
                    </a:stretch>
                  </pic:blipFill>
                  <pic:spPr>
                    <a:xfrm>
                      <a:off x="0" y="0"/>
                      <a:ext cx="5261610" cy="2562860"/>
                    </a:xfrm>
                    <a:prstGeom prst="rect">
                      <a:avLst/>
                    </a:prstGeom>
                    <a:noFill/>
                    <a:ln>
                      <a:noFill/>
                    </a:ln>
                  </pic:spPr>
                </pic:pic>
              </a:graphicData>
            </a:graphic>
          </wp:inline>
        </w:drawing>
      </w:r>
    </w:p>
    <w:p w14:paraId="3D830B11">
      <w:pPr>
        <w:pStyle w:val="3"/>
        <w:numPr>
          <w:ilvl w:val="1"/>
          <w:numId w:val="0"/>
        </w:numPr>
        <w:bidi w:val="0"/>
        <w:ind w:left="-141" w:left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（五）确认开标信息</w:t>
      </w:r>
    </w:p>
    <w:p w14:paraId="3FCD3698">
      <w:pPr>
        <w:rPr>
          <w:rFonts w:hint="default"/>
          <w:lang w:val="en-US" w:eastAsia="zh-CN"/>
        </w:rPr>
      </w:pPr>
      <w:r>
        <w:rPr>
          <w:rFonts w:hint="eastAsia"/>
          <w:lang w:val="en-US" w:eastAsia="zh-CN"/>
        </w:rPr>
        <w:t>系统将向投标人发送开标记录表，五分钟内投标人会自行确认信息是否正确。超过五分钟未确认的单位会自动超时确认。若投标人有异议需及时处理投标人异议.</w:t>
      </w:r>
    </w:p>
    <w:p w14:paraId="53717472">
      <w:pPr>
        <w:ind w:left="0" w:leftChars="0" w:firstLine="0" w:firstLineChars="0"/>
      </w:pPr>
    </w:p>
    <w:p w14:paraId="2DD7882A">
      <w:pPr>
        <w:ind w:left="0" w:leftChars="0" w:firstLine="0" w:firstLineChars="0"/>
      </w:pPr>
      <w:r>
        <w:drawing>
          <wp:inline distT="0" distB="0" distL="114300" distR="114300">
            <wp:extent cx="5261610" cy="2562860"/>
            <wp:effectExtent l="0" t="0" r="8890" b="8890"/>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99"/>
                    <a:stretch>
                      <a:fillRect/>
                    </a:stretch>
                  </pic:blipFill>
                  <pic:spPr>
                    <a:xfrm>
                      <a:off x="0" y="0"/>
                      <a:ext cx="5261610" cy="2562860"/>
                    </a:xfrm>
                    <a:prstGeom prst="rect">
                      <a:avLst/>
                    </a:prstGeom>
                    <a:noFill/>
                    <a:ln>
                      <a:noFill/>
                    </a:ln>
                  </pic:spPr>
                </pic:pic>
              </a:graphicData>
            </a:graphic>
          </wp:inline>
        </w:drawing>
      </w:r>
    </w:p>
    <w:p w14:paraId="6BEF5AC5">
      <w:pPr>
        <w:ind w:left="0" w:leftChars="0" w:firstLine="0" w:firstLineChars="0"/>
      </w:pPr>
      <w:r>
        <w:drawing>
          <wp:inline distT="0" distB="0" distL="114300" distR="114300">
            <wp:extent cx="5261610" cy="2562860"/>
            <wp:effectExtent l="0" t="0" r="8890" b="889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100"/>
                    <a:stretch>
                      <a:fillRect/>
                    </a:stretch>
                  </pic:blipFill>
                  <pic:spPr>
                    <a:xfrm>
                      <a:off x="0" y="0"/>
                      <a:ext cx="5261610" cy="2562860"/>
                    </a:xfrm>
                    <a:prstGeom prst="rect">
                      <a:avLst/>
                    </a:prstGeom>
                    <a:noFill/>
                    <a:ln>
                      <a:noFill/>
                    </a:ln>
                  </pic:spPr>
                </pic:pic>
              </a:graphicData>
            </a:graphic>
          </wp:inline>
        </w:drawing>
      </w:r>
    </w:p>
    <w:p w14:paraId="171CEF06">
      <w:pPr>
        <w:pStyle w:val="3"/>
        <w:numPr>
          <w:ilvl w:val="1"/>
          <w:numId w:val="0"/>
        </w:numPr>
        <w:bidi w:val="0"/>
        <w:ind w:left="-141" w:leftChars="0"/>
      </w:pPr>
      <w:r>
        <w:rPr>
          <w:rFonts w:hint="eastAsia" w:ascii="华文仿宋" w:hAnsi="华文仿宋" w:eastAsia="华文仿宋" w:cs="华文仿宋"/>
          <w:lang w:val="en-US" w:eastAsia="zh-CN"/>
        </w:rPr>
        <w:t>（六）开标结束</w:t>
      </w:r>
    </w:p>
    <w:p w14:paraId="2A40C91B">
      <w:pPr>
        <w:ind w:left="0" w:leftChars="0" w:firstLine="0" w:firstLineChars="0"/>
        <w:rPr>
          <w:rFonts w:hint="eastAsia"/>
          <w:lang w:val="en-US" w:eastAsia="zh-CN"/>
        </w:rPr>
      </w:pPr>
      <w:r>
        <w:rPr>
          <w:rFonts w:hint="eastAsia"/>
          <w:lang w:val="en-US" w:eastAsia="zh-CN"/>
        </w:rPr>
        <w:t>五分钟结束后可以点击下载开标记录表，点击开标结束则整个开标流程完成。</w:t>
      </w:r>
    </w:p>
    <w:p w14:paraId="5288290D">
      <w:pPr>
        <w:ind w:left="0" w:leftChars="0" w:firstLine="0" w:firstLineChars="0"/>
      </w:pPr>
      <w:r>
        <w:drawing>
          <wp:inline distT="0" distB="0" distL="114300" distR="114300">
            <wp:extent cx="5261610" cy="2562860"/>
            <wp:effectExtent l="0" t="0" r="8890" b="8890"/>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1"/>
                    </pic:cNvPicPr>
                  </pic:nvPicPr>
                  <pic:blipFill>
                    <a:blip r:embed="rId101"/>
                    <a:stretch>
                      <a:fillRect/>
                    </a:stretch>
                  </pic:blipFill>
                  <pic:spPr>
                    <a:xfrm>
                      <a:off x="0" y="0"/>
                      <a:ext cx="5261610" cy="2562860"/>
                    </a:xfrm>
                    <a:prstGeom prst="rect">
                      <a:avLst/>
                    </a:prstGeom>
                    <a:noFill/>
                    <a:ln>
                      <a:noFill/>
                    </a:ln>
                  </pic:spPr>
                </pic:pic>
              </a:graphicData>
            </a:graphic>
          </wp:inline>
        </w:drawing>
      </w:r>
    </w:p>
    <w:p w14:paraId="672193C4">
      <w:pPr>
        <w:ind w:left="0" w:leftChars="0" w:firstLine="0" w:firstLineChars="0"/>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思源宋体 CN Light">
    <w:altName w:val="宋体"/>
    <w:panose1 w:val="02020300000000000000"/>
    <w:charset w:val="86"/>
    <w:family w:val="roman"/>
    <w:pitch w:val="default"/>
    <w:sig w:usb0="00000000" w:usb1="00000000" w:usb2="00000016" w:usb3="00000000" w:csb0="60060107"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82128A"/>
    <w:multiLevelType w:val="singleLevel"/>
    <w:tmpl w:val="8F82128A"/>
    <w:lvl w:ilvl="0" w:tentative="0">
      <w:start w:val="3"/>
      <w:numFmt w:val="decimal"/>
      <w:suff w:val="nothing"/>
      <w:lvlText w:val="%1、"/>
      <w:lvlJc w:val="left"/>
    </w:lvl>
  </w:abstractNum>
  <w:abstractNum w:abstractNumId="1">
    <w:nsid w:val="966FEBAD"/>
    <w:multiLevelType w:val="singleLevel"/>
    <w:tmpl w:val="966FEBAD"/>
    <w:lvl w:ilvl="0" w:tentative="0">
      <w:start w:val="3"/>
      <w:numFmt w:val="chineseCounting"/>
      <w:suff w:val="nothing"/>
      <w:lvlText w:val="（%1）"/>
      <w:lvlJc w:val="left"/>
      <w:pPr>
        <w:ind w:left="717"/>
      </w:pPr>
      <w:rPr>
        <w:rFonts w:hint="eastAsia"/>
      </w:rPr>
    </w:lvl>
  </w:abstractNum>
  <w:abstractNum w:abstractNumId="2">
    <w:nsid w:val="B1E3F9B4"/>
    <w:multiLevelType w:val="multilevel"/>
    <w:tmpl w:val="B1E3F9B4"/>
    <w:lvl w:ilvl="0" w:tentative="0">
      <w:start w:val="1"/>
      <w:numFmt w:val="chineseCountingThousand"/>
      <w:pStyle w:val="2"/>
      <w:lvlText w:val="%1、"/>
      <w:lvlJc w:val="left"/>
      <w:pPr>
        <w:ind w:left="432" w:hanging="432"/>
      </w:pPr>
      <w:rPr>
        <w:rFonts w:hint="eastAsia"/>
        <w:color w:val="auto"/>
      </w:rPr>
    </w:lvl>
    <w:lvl w:ilvl="1" w:tentative="0">
      <w:start w:val="1"/>
      <w:numFmt w:val="decimal"/>
      <w:pStyle w:val="3"/>
      <w:isLgl/>
      <w:lvlText w:val="%1.%2  "/>
      <w:lvlJc w:val="left"/>
      <w:pPr>
        <w:ind w:left="435" w:hanging="576"/>
      </w:pPr>
      <w:rPr>
        <w:rFonts w:hint="eastAsia" w:ascii="宋体" w:hAnsi="宋体" w:eastAsia="宋体" w:cs="宋体"/>
      </w:rPr>
    </w:lvl>
    <w:lvl w:ilvl="2" w:tentative="0">
      <w:start w:val="1"/>
      <w:numFmt w:val="decimal"/>
      <w:isLgl/>
      <w:lvlText w:val="%1.%2.%3  "/>
      <w:lvlJc w:val="left"/>
      <w:pPr>
        <w:ind w:left="1134" w:firstLine="1"/>
      </w:pPr>
      <w:rPr>
        <w:rFonts w:hint="eastAsia" w:ascii="宋体" w:hAnsi="宋体" w:eastAsia="宋体" w:cs="宋体"/>
      </w:rPr>
    </w:lvl>
    <w:lvl w:ilvl="3" w:tentative="0">
      <w:start w:val="1"/>
      <w:numFmt w:val="decimal"/>
      <w:isLgl/>
      <w:lvlText w:val="%1.%2.%3.%4、"/>
      <w:lvlJc w:val="left"/>
      <w:pPr>
        <w:ind w:left="723" w:hanging="864"/>
      </w:pPr>
      <w:rPr>
        <w:rFonts w:hint="eastAsia"/>
      </w:rPr>
    </w:lvl>
    <w:lvl w:ilvl="4" w:tentative="0">
      <w:start w:val="1"/>
      <w:numFmt w:val="decimal"/>
      <w:isLgl/>
      <w:lvlText w:val="%1.%2.%3.%4.%5、"/>
      <w:lvlJc w:val="left"/>
      <w:pPr>
        <w:ind w:left="867" w:hanging="1008"/>
      </w:pPr>
      <w:rPr>
        <w:rFonts w:hint="eastAsia"/>
      </w:rPr>
    </w:lvl>
    <w:lvl w:ilvl="5" w:tentative="0">
      <w:start w:val="1"/>
      <w:numFmt w:val="decimal"/>
      <w:isLgl/>
      <w:lvlText w:val="%1.%2.%3.%4.%5.%6、"/>
      <w:lvlJc w:val="left"/>
      <w:pPr>
        <w:ind w:left="1011" w:hanging="1152"/>
      </w:pPr>
      <w:rPr>
        <w:rFonts w:hint="eastAsia"/>
      </w:rPr>
    </w:lvl>
    <w:lvl w:ilvl="6" w:tentative="0">
      <w:start w:val="1"/>
      <w:numFmt w:val="decimal"/>
      <w:lvlText w:val="%1.%2.%3.%4.%5.%6.%7"/>
      <w:lvlJc w:val="left"/>
      <w:pPr>
        <w:ind w:left="1155" w:hanging="1296"/>
      </w:pPr>
      <w:rPr>
        <w:rFonts w:hint="eastAsia"/>
      </w:rPr>
    </w:lvl>
    <w:lvl w:ilvl="7" w:tentative="0">
      <w:start w:val="1"/>
      <w:numFmt w:val="decimal"/>
      <w:lvlText w:val="%1.%2.%3.%4.%5.%6.%7.%8"/>
      <w:lvlJc w:val="left"/>
      <w:pPr>
        <w:ind w:left="1299" w:hanging="1440"/>
      </w:pPr>
      <w:rPr>
        <w:rFonts w:hint="eastAsia"/>
      </w:rPr>
    </w:lvl>
    <w:lvl w:ilvl="8" w:tentative="0">
      <w:start w:val="1"/>
      <w:numFmt w:val="decimal"/>
      <w:lvlText w:val="%1.%2.%3.%4.%5.%6.%7.%8.%9"/>
      <w:lvlJc w:val="left"/>
      <w:pPr>
        <w:ind w:left="1443" w:hanging="1584"/>
      </w:pPr>
      <w:rPr>
        <w:rFonts w:hint="eastAsia"/>
      </w:rPr>
    </w:lvl>
  </w:abstractNum>
  <w:abstractNum w:abstractNumId="3">
    <w:nsid w:val="BB596172"/>
    <w:multiLevelType w:val="singleLevel"/>
    <w:tmpl w:val="BB596172"/>
    <w:lvl w:ilvl="0" w:tentative="0">
      <w:start w:val="1"/>
      <w:numFmt w:val="bullet"/>
      <w:lvlText w:val=""/>
      <w:lvlJc w:val="left"/>
      <w:pPr>
        <w:ind w:left="420" w:hanging="420"/>
      </w:pPr>
      <w:rPr>
        <w:rFonts w:hint="default" w:ascii="Wingdings" w:hAnsi="Wingdings"/>
      </w:rPr>
    </w:lvl>
  </w:abstractNum>
  <w:abstractNum w:abstractNumId="4">
    <w:nsid w:val="C4E09B80"/>
    <w:multiLevelType w:val="singleLevel"/>
    <w:tmpl w:val="C4E09B80"/>
    <w:lvl w:ilvl="0" w:tentative="0">
      <w:start w:val="3"/>
      <w:numFmt w:val="decimal"/>
      <w:suff w:val="nothing"/>
      <w:lvlText w:val="（%1）"/>
      <w:lvlJc w:val="left"/>
      <w:pPr>
        <w:ind w:left="-10"/>
      </w:pPr>
    </w:lvl>
  </w:abstractNum>
  <w:abstractNum w:abstractNumId="5">
    <w:nsid w:val="C64C068C"/>
    <w:multiLevelType w:val="singleLevel"/>
    <w:tmpl w:val="C64C068C"/>
    <w:lvl w:ilvl="0" w:tentative="0">
      <w:start w:val="1"/>
      <w:numFmt w:val="decimal"/>
      <w:suff w:val="nothing"/>
      <w:lvlText w:val="%1、"/>
      <w:lvlJc w:val="left"/>
    </w:lvl>
  </w:abstractNum>
  <w:abstractNum w:abstractNumId="6">
    <w:nsid w:val="CFE51FD3"/>
    <w:multiLevelType w:val="multilevel"/>
    <w:tmpl w:val="CFE51FD3"/>
    <w:lvl w:ilvl="0" w:tentative="0">
      <w:start w:val="1"/>
      <w:numFmt w:val="chineseCountingThousand"/>
      <w:suff w:val="nothing"/>
      <w:lvlText w:val="%1、"/>
      <w:lvlJc w:val="left"/>
      <w:pPr>
        <w:ind w:left="425" w:hanging="425"/>
      </w:pPr>
      <w:rPr>
        <w:rFonts w:hint="eastAsia" w:ascii="宋体" w:hAnsi="宋体" w:eastAsia="宋体"/>
      </w:rPr>
    </w:lvl>
    <w:lvl w:ilvl="1" w:tentative="0">
      <w:start w:val="1"/>
      <w:numFmt w:val="decimal"/>
      <w:isLgl/>
      <w:suff w:val="nothing"/>
      <w:lvlText w:val="%1.%2  "/>
      <w:lvlJc w:val="left"/>
      <w:pPr>
        <w:tabs>
          <w:tab w:val="left" w:pos="0"/>
        </w:tabs>
        <w:ind w:left="567" w:hanging="567"/>
      </w:pPr>
      <w:rPr>
        <w:rFonts w:hint="eastAsia" w:ascii="宋体" w:hAnsi="宋体" w:eastAsia="宋体" w:cs="宋体"/>
      </w:rPr>
    </w:lvl>
    <w:lvl w:ilvl="2" w:tentative="0">
      <w:start w:val="1"/>
      <w:numFmt w:val="decimal"/>
      <w:isLgl/>
      <w:suff w:val="nothing"/>
      <w:lvlText w:val="%1.%2.%3、"/>
      <w:lvlJc w:val="left"/>
      <w:pPr>
        <w:ind w:left="1069" w:hanging="1069"/>
      </w:pPr>
      <w:rPr>
        <w:rFonts w:hint="eastAsia" w:ascii="宋体" w:hAnsi="宋体" w:eastAsia="宋体" w:cs="Arial"/>
      </w:rPr>
    </w:lvl>
    <w:lvl w:ilvl="3" w:tentative="0">
      <w:start w:val="1"/>
      <w:numFmt w:val="decimal"/>
      <w:isLgl/>
      <w:suff w:val="nothing"/>
      <w:lvlText w:val="%1.%2.%3.%4、"/>
      <w:lvlJc w:val="left"/>
      <w:pPr>
        <w:ind w:left="851" w:hanging="851"/>
      </w:pPr>
      <w:rPr>
        <w:rFonts w:hint="eastAsia" w:ascii="宋体" w:hAnsi="宋体" w:eastAsia="宋体" w:cs="Arial"/>
        <w:sz w:val="28"/>
        <w:szCs w:val="28"/>
      </w:rPr>
    </w:lvl>
    <w:lvl w:ilvl="4" w:tentative="0">
      <w:start w:val="1"/>
      <w:numFmt w:val="decimal"/>
      <w:isLgl/>
      <w:suff w:val="nothing"/>
      <w:lvlText w:val="%1.%2.%3.%4.%5、"/>
      <w:lvlJc w:val="left"/>
      <w:pPr>
        <w:ind w:left="992" w:hanging="992"/>
      </w:pPr>
      <w:rPr>
        <w:rFonts w:hint="eastAsia" w:ascii="宋体" w:hAnsi="宋体" w:eastAsia="宋体"/>
      </w:rPr>
    </w:lvl>
    <w:lvl w:ilvl="5" w:tentative="0">
      <w:start w:val="1"/>
      <w:numFmt w:val="decimal"/>
      <w:isLgl/>
      <w:suff w:val="nothing"/>
      <w:lvlText w:val="%1.%2.%3.%4.%5.%6、"/>
      <w:lvlJc w:val="left"/>
      <w:pPr>
        <w:ind w:left="1134" w:hanging="1134"/>
      </w:pPr>
      <w:rPr>
        <w:rFonts w:hint="eastAsia" w:ascii="宋体" w:hAnsi="宋体" w:eastAsia="宋体"/>
      </w:rPr>
    </w:lvl>
    <w:lvl w:ilvl="6" w:tentative="0">
      <w:start w:val="1"/>
      <w:numFmt w:val="decimal"/>
      <w:isLgl/>
      <w:lvlText w:val="%1.%2.%3.%4.%5.%6.%7"/>
      <w:lvlJc w:val="left"/>
      <w:pPr>
        <w:tabs>
          <w:tab w:val="left" w:pos="1800"/>
        </w:tabs>
        <w:ind w:left="1276" w:hanging="1276"/>
      </w:pPr>
      <w:rPr>
        <w:rFonts w:hint="eastAsia" w:ascii="宋体" w:hAnsi="宋体" w:eastAsia="宋体"/>
      </w:rPr>
    </w:lvl>
    <w:lvl w:ilvl="7" w:tentative="0">
      <w:start w:val="1"/>
      <w:numFmt w:val="decimal"/>
      <w:isLgl/>
      <w:lvlText w:val="%1.%2.%3.%4.%5.%6.%7.%8"/>
      <w:lvlJc w:val="left"/>
      <w:pPr>
        <w:tabs>
          <w:tab w:val="left" w:pos="1800"/>
        </w:tabs>
        <w:ind w:left="1418" w:hanging="1418"/>
      </w:pPr>
      <w:rPr>
        <w:rFonts w:hint="eastAsia" w:ascii="宋体" w:hAnsi="宋体" w:eastAsia="宋体"/>
      </w:rPr>
    </w:lvl>
    <w:lvl w:ilvl="8" w:tentative="0">
      <w:start w:val="1"/>
      <w:numFmt w:val="decimal"/>
      <w:isLgl/>
      <w:lvlText w:val="%1.%2.%3.%4.%5.%6.%7.%8.%9"/>
      <w:lvlJc w:val="left"/>
      <w:pPr>
        <w:tabs>
          <w:tab w:val="left" w:pos="2160"/>
        </w:tabs>
        <w:ind w:left="1559" w:hanging="1559"/>
      </w:pPr>
      <w:rPr>
        <w:rFonts w:hint="eastAsia" w:ascii="宋体" w:hAnsi="宋体" w:eastAsia="宋体"/>
      </w:rPr>
    </w:lvl>
  </w:abstractNum>
  <w:abstractNum w:abstractNumId="7">
    <w:nsid w:val="D5CB18DA"/>
    <w:multiLevelType w:val="singleLevel"/>
    <w:tmpl w:val="D5CB18DA"/>
    <w:lvl w:ilvl="0" w:tentative="0">
      <w:start w:val="1"/>
      <w:numFmt w:val="bullet"/>
      <w:lvlText w:val=""/>
      <w:lvlJc w:val="left"/>
      <w:pPr>
        <w:ind w:left="420" w:hanging="420"/>
      </w:pPr>
      <w:rPr>
        <w:rFonts w:hint="default" w:ascii="Wingdings" w:hAnsi="Wingdings"/>
      </w:rPr>
    </w:lvl>
  </w:abstractNum>
  <w:abstractNum w:abstractNumId="8">
    <w:nsid w:val="D9F08AC3"/>
    <w:multiLevelType w:val="singleLevel"/>
    <w:tmpl w:val="D9F08AC3"/>
    <w:lvl w:ilvl="0" w:tentative="0">
      <w:start w:val="2"/>
      <w:numFmt w:val="decimal"/>
      <w:suff w:val="nothing"/>
      <w:lvlText w:val="（%1）"/>
      <w:lvlJc w:val="left"/>
    </w:lvl>
  </w:abstractNum>
  <w:abstractNum w:abstractNumId="9">
    <w:nsid w:val="E23EE666"/>
    <w:multiLevelType w:val="singleLevel"/>
    <w:tmpl w:val="E23EE666"/>
    <w:lvl w:ilvl="0" w:tentative="0">
      <w:start w:val="1"/>
      <w:numFmt w:val="decimal"/>
      <w:suff w:val="nothing"/>
      <w:lvlText w:val="%1、"/>
      <w:lvlJc w:val="left"/>
    </w:lvl>
  </w:abstractNum>
  <w:abstractNum w:abstractNumId="10">
    <w:nsid w:val="E513FA5A"/>
    <w:multiLevelType w:val="singleLevel"/>
    <w:tmpl w:val="E513FA5A"/>
    <w:lvl w:ilvl="0" w:tentative="0">
      <w:start w:val="1"/>
      <w:numFmt w:val="decimal"/>
      <w:suff w:val="nothing"/>
      <w:lvlText w:val="%1、"/>
      <w:lvlJc w:val="left"/>
    </w:lvl>
  </w:abstractNum>
  <w:abstractNum w:abstractNumId="11">
    <w:nsid w:val="202CB068"/>
    <w:multiLevelType w:val="singleLevel"/>
    <w:tmpl w:val="202CB068"/>
    <w:lvl w:ilvl="0" w:tentative="0">
      <w:start w:val="1"/>
      <w:numFmt w:val="decimal"/>
      <w:suff w:val="nothing"/>
      <w:lvlText w:val="（%1）"/>
      <w:lvlJc w:val="left"/>
    </w:lvl>
  </w:abstractNum>
  <w:abstractNum w:abstractNumId="12">
    <w:nsid w:val="64D5A6F2"/>
    <w:multiLevelType w:val="singleLevel"/>
    <w:tmpl w:val="64D5A6F2"/>
    <w:lvl w:ilvl="0" w:tentative="0">
      <w:start w:val="1"/>
      <w:numFmt w:val="decimal"/>
      <w:suff w:val="nothing"/>
      <w:lvlText w:val="%1、"/>
      <w:lvlJc w:val="left"/>
    </w:lvl>
  </w:abstractNum>
  <w:abstractNum w:abstractNumId="13">
    <w:nsid w:val="799B24C8"/>
    <w:multiLevelType w:val="singleLevel"/>
    <w:tmpl w:val="799B24C8"/>
    <w:lvl w:ilvl="0" w:tentative="0">
      <w:start w:val="2"/>
      <w:numFmt w:val="decimal"/>
      <w:suff w:val="nothing"/>
      <w:lvlText w:val="%1、"/>
      <w:lvlJc w:val="left"/>
    </w:lvl>
  </w:abstractNum>
  <w:num w:numId="1">
    <w:abstractNumId w:val="2"/>
  </w:num>
  <w:num w:numId="2">
    <w:abstractNumId w:val="6"/>
  </w:num>
  <w:num w:numId="3">
    <w:abstractNumId w:val="10"/>
  </w:num>
  <w:num w:numId="4">
    <w:abstractNumId w:val="0"/>
  </w:num>
  <w:num w:numId="5">
    <w:abstractNumId w:val="5"/>
  </w:num>
  <w:num w:numId="6">
    <w:abstractNumId w:val="4"/>
  </w:num>
  <w:num w:numId="7">
    <w:abstractNumId w:val="7"/>
  </w:num>
  <w:num w:numId="8">
    <w:abstractNumId w:val="13"/>
  </w:num>
  <w:num w:numId="9">
    <w:abstractNumId w:val="1"/>
  </w:num>
  <w:num w:numId="10">
    <w:abstractNumId w:val="12"/>
  </w:num>
  <w:num w:numId="11">
    <w:abstractNumId w:val="8"/>
  </w:num>
  <w:num w:numId="12">
    <w:abstractNumId w:val="11"/>
  </w:num>
  <w:num w:numId="13">
    <w:abstractNumId w:val="9"/>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hiMTlhMTEyYWJiZDFlNGQzNjVmZWJjMTliZDMzZWYifQ=="/>
  </w:docVars>
  <w:rsids>
    <w:rsidRoot w:val="042043A4"/>
    <w:rsid w:val="00327CB1"/>
    <w:rsid w:val="004958E1"/>
    <w:rsid w:val="006875A4"/>
    <w:rsid w:val="00926437"/>
    <w:rsid w:val="00E928C0"/>
    <w:rsid w:val="00F76363"/>
    <w:rsid w:val="01103C64"/>
    <w:rsid w:val="012449B6"/>
    <w:rsid w:val="013C08C1"/>
    <w:rsid w:val="01416EE4"/>
    <w:rsid w:val="014B3705"/>
    <w:rsid w:val="016025FC"/>
    <w:rsid w:val="016814B1"/>
    <w:rsid w:val="016F2403"/>
    <w:rsid w:val="018A7679"/>
    <w:rsid w:val="01D20425"/>
    <w:rsid w:val="01F864D6"/>
    <w:rsid w:val="02025461"/>
    <w:rsid w:val="020A2568"/>
    <w:rsid w:val="022125E7"/>
    <w:rsid w:val="02240624"/>
    <w:rsid w:val="02540085"/>
    <w:rsid w:val="027E05F6"/>
    <w:rsid w:val="0284193E"/>
    <w:rsid w:val="02857988"/>
    <w:rsid w:val="02C62933"/>
    <w:rsid w:val="02EF3099"/>
    <w:rsid w:val="03045209"/>
    <w:rsid w:val="03272623"/>
    <w:rsid w:val="03764B4A"/>
    <w:rsid w:val="03DE27F7"/>
    <w:rsid w:val="03FB660C"/>
    <w:rsid w:val="04023458"/>
    <w:rsid w:val="04043557"/>
    <w:rsid w:val="042043A4"/>
    <w:rsid w:val="044B0BB3"/>
    <w:rsid w:val="045E16C2"/>
    <w:rsid w:val="0466617C"/>
    <w:rsid w:val="04783517"/>
    <w:rsid w:val="04876C93"/>
    <w:rsid w:val="048E122E"/>
    <w:rsid w:val="04D40FA8"/>
    <w:rsid w:val="04E6106A"/>
    <w:rsid w:val="05167723"/>
    <w:rsid w:val="05207EA6"/>
    <w:rsid w:val="053648B0"/>
    <w:rsid w:val="05372447"/>
    <w:rsid w:val="055B06E7"/>
    <w:rsid w:val="056E08C6"/>
    <w:rsid w:val="05AB2101"/>
    <w:rsid w:val="05B6499C"/>
    <w:rsid w:val="05D07AA0"/>
    <w:rsid w:val="05E22C45"/>
    <w:rsid w:val="063474FD"/>
    <w:rsid w:val="063A3F32"/>
    <w:rsid w:val="0653179E"/>
    <w:rsid w:val="06556151"/>
    <w:rsid w:val="065C3598"/>
    <w:rsid w:val="0671143B"/>
    <w:rsid w:val="06756E64"/>
    <w:rsid w:val="067C362B"/>
    <w:rsid w:val="06824DC3"/>
    <w:rsid w:val="06977A52"/>
    <w:rsid w:val="06ED3D49"/>
    <w:rsid w:val="06F85085"/>
    <w:rsid w:val="07121B0D"/>
    <w:rsid w:val="072702BE"/>
    <w:rsid w:val="073A6B33"/>
    <w:rsid w:val="074A4115"/>
    <w:rsid w:val="07692055"/>
    <w:rsid w:val="077227F5"/>
    <w:rsid w:val="07A6358C"/>
    <w:rsid w:val="07B020AC"/>
    <w:rsid w:val="07BD4105"/>
    <w:rsid w:val="08073A60"/>
    <w:rsid w:val="08474155"/>
    <w:rsid w:val="08482C5C"/>
    <w:rsid w:val="085966AC"/>
    <w:rsid w:val="087B405D"/>
    <w:rsid w:val="08A47272"/>
    <w:rsid w:val="08A84A91"/>
    <w:rsid w:val="08E57A97"/>
    <w:rsid w:val="090B7DC7"/>
    <w:rsid w:val="091E3D56"/>
    <w:rsid w:val="091F4B4B"/>
    <w:rsid w:val="0988417B"/>
    <w:rsid w:val="09C53944"/>
    <w:rsid w:val="09E71B0D"/>
    <w:rsid w:val="09F726B4"/>
    <w:rsid w:val="0A0C50B2"/>
    <w:rsid w:val="0A0F009B"/>
    <w:rsid w:val="0A143E08"/>
    <w:rsid w:val="0A3F4A61"/>
    <w:rsid w:val="0A993FB1"/>
    <w:rsid w:val="0ACB31DC"/>
    <w:rsid w:val="0AD33FFD"/>
    <w:rsid w:val="0ADD6A6C"/>
    <w:rsid w:val="0B147F71"/>
    <w:rsid w:val="0B505792"/>
    <w:rsid w:val="0B555793"/>
    <w:rsid w:val="0B7E024F"/>
    <w:rsid w:val="0BA37872"/>
    <w:rsid w:val="0BB440E1"/>
    <w:rsid w:val="0C07575C"/>
    <w:rsid w:val="0C5F0CA7"/>
    <w:rsid w:val="0C836647"/>
    <w:rsid w:val="0CCD15CC"/>
    <w:rsid w:val="0CCE0D2E"/>
    <w:rsid w:val="0CEC743A"/>
    <w:rsid w:val="0CFA798D"/>
    <w:rsid w:val="0D10137A"/>
    <w:rsid w:val="0D597A42"/>
    <w:rsid w:val="0D8E4DD9"/>
    <w:rsid w:val="0DBE0DD6"/>
    <w:rsid w:val="0DC36687"/>
    <w:rsid w:val="0DF26CD2"/>
    <w:rsid w:val="0E0E7739"/>
    <w:rsid w:val="0E297097"/>
    <w:rsid w:val="0E77780C"/>
    <w:rsid w:val="0E8A7BC0"/>
    <w:rsid w:val="0E974848"/>
    <w:rsid w:val="0EC77399"/>
    <w:rsid w:val="0ECF1F00"/>
    <w:rsid w:val="0EE859DF"/>
    <w:rsid w:val="0EF97BEC"/>
    <w:rsid w:val="0F0E3730"/>
    <w:rsid w:val="0F4C5781"/>
    <w:rsid w:val="0F5F2145"/>
    <w:rsid w:val="0F6A37E7"/>
    <w:rsid w:val="0F84395A"/>
    <w:rsid w:val="0F962B0F"/>
    <w:rsid w:val="0FA93012"/>
    <w:rsid w:val="0FF860F6"/>
    <w:rsid w:val="0FF876FE"/>
    <w:rsid w:val="10382597"/>
    <w:rsid w:val="10477862"/>
    <w:rsid w:val="104F5AD1"/>
    <w:rsid w:val="10594627"/>
    <w:rsid w:val="109A3AB6"/>
    <w:rsid w:val="10AA5642"/>
    <w:rsid w:val="10DF7836"/>
    <w:rsid w:val="113B4267"/>
    <w:rsid w:val="11A405D2"/>
    <w:rsid w:val="11AC41D7"/>
    <w:rsid w:val="11B05467"/>
    <w:rsid w:val="11C96578"/>
    <w:rsid w:val="11D745C7"/>
    <w:rsid w:val="11FB0620"/>
    <w:rsid w:val="120032F3"/>
    <w:rsid w:val="1217350D"/>
    <w:rsid w:val="122028A6"/>
    <w:rsid w:val="125C0BBE"/>
    <w:rsid w:val="12617F82"/>
    <w:rsid w:val="127B7042"/>
    <w:rsid w:val="12CF2B53"/>
    <w:rsid w:val="131E414A"/>
    <w:rsid w:val="132E3367"/>
    <w:rsid w:val="13850EB4"/>
    <w:rsid w:val="1387702A"/>
    <w:rsid w:val="13A27A23"/>
    <w:rsid w:val="140B4550"/>
    <w:rsid w:val="14102177"/>
    <w:rsid w:val="14411837"/>
    <w:rsid w:val="144D3595"/>
    <w:rsid w:val="1463591C"/>
    <w:rsid w:val="146B7F7D"/>
    <w:rsid w:val="147C0779"/>
    <w:rsid w:val="147E48FA"/>
    <w:rsid w:val="14810EC6"/>
    <w:rsid w:val="14A82CAD"/>
    <w:rsid w:val="14AB54F6"/>
    <w:rsid w:val="14F63F32"/>
    <w:rsid w:val="15082937"/>
    <w:rsid w:val="154E324D"/>
    <w:rsid w:val="15751F15"/>
    <w:rsid w:val="157C5F2B"/>
    <w:rsid w:val="15990CA4"/>
    <w:rsid w:val="15B12FCF"/>
    <w:rsid w:val="15BB34FB"/>
    <w:rsid w:val="15D67D9C"/>
    <w:rsid w:val="1610544C"/>
    <w:rsid w:val="162A05C8"/>
    <w:rsid w:val="162F7B89"/>
    <w:rsid w:val="1633430E"/>
    <w:rsid w:val="16797F90"/>
    <w:rsid w:val="167B79FB"/>
    <w:rsid w:val="16904827"/>
    <w:rsid w:val="16DA7F3D"/>
    <w:rsid w:val="16DF2D5A"/>
    <w:rsid w:val="17052882"/>
    <w:rsid w:val="170F26A3"/>
    <w:rsid w:val="17143815"/>
    <w:rsid w:val="175516FD"/>
    <w:rsid w:val="175F20BD"/>
    <w:rsid w:val="17697684"/>
    <w:rsid w:val="17BA4F3A"/>
    <w:rsid w:val="17E23913"/>
    <w:rsid w:val="18130B49"/>
    <w:rsid w:val="18882F4F"/>
    <w:rsid w:val="188C24EC"/>
    <w:rsid w:val="18F9689A"/>
    <w:rsid w:val="191B532F"/>
    <w:rsid w:val="196B7760"/>
    <w:rsid w:val="197742E3"/>
    <w:rsid w:val="19D91C69"/>
    <w:rsid w:val="19DC2629"/>
    <w:rsid w:val="1A59445E"/>
    <w:rsid w:val="1A5E2FB2"/>
    <w:rsid w:val="1A642D06"/>
    <w:rsid w:val="1A912351"/>
    <w:rsid w:val="1AB1475E"/>
    <w:rsid w:val="1AEF3F25"/>
    <w:rsid w:val="1AFE3DCF"/>
    <w:rsid w:val="1B122762"/>
    <w:rsid w:val="1B18320E"/>
    <w:rsid w:val="1B19379D"/>
    <w:rsid w:val="1B1E40A9"/>
    <w:rsid w:val="1B45446A"/>
    <w:rsid w:val="1B9112D4"/>
    <w:rsid w:val="1BD47A17"/>
    <w:rsid w:val="1BF64012"/>
    <w:rsid w:val="1C137D70"/>
    <w:rsid w:val="1C1C443F"/>
    <w:rsid w:val="1C327A85"/>
    <w:rsid w:val="1C4A1ECF"/>
    <w:rsid w:val="1C502276"/>
    <w:rsid w:val="1C5838E6"/>
    <w:rsid w:val="1C7134B8"/>
    <w:rsid w:val="1C7727DD"/>
    <w:rsid w:val="1C7D4844"/>
    <w:rsid w:val="1CB10F0F"/>
    <w:rsid w:val="1D044B4C"/>
    <w:rsid w:val="1D0C3151"/>
    <w:rsid w:val="1DCD471E"/>
    <w:rsid w:val="1E342468"/>
    <w:rsid w:val="1E433E58"/>
    <w:rsid w:val="1E52084A"/>
    <w:rsid w:val="1E810942"/>
    <w:rsid w:val="1E926FD5"/>
    <w:rsid w:val="1F506BBD"/>
    <w:rsid w:val="1F681AC2"/>
    <w:rsid w:val="1F687D89"/>
    <w:rsid w:val="1F9F0F29"/>
    <w:rsid w:val="1FA83A1B"/>
    <w:rsid w:val="1FAB661A"/>
    <w:rsid w:val="1FAC13C9"/>
    <w:rsid w:val="1FDE302C"/>
    <w:rsid w:val="20186E20"/>
    <w:rsid w:val="20353B42"/>
    <w:rsid w:val="203601AB"/>
    <w:rsid w:val="203E07CD"/>
    <w:rsid w:val="20790517"/>
    <w:rsid w:val="20EB31FD"/>
    <w:rsid w:val="21254716"/>
    <w:rsid w:val="217010C5"/>
    <w:rsid w:val="218C74F3"/>
    <w:rsid w:val="21924ACF"/>
    <w:rsid w:val="219877E5"/>
    <w:rsid w:val="21E25450"/>
    <w:rsid w:val="21FB0C54"/>
    <w:rsid w:val="22241FCD"/>
    <w:rsid w:val="22343942"/>
    <w:rsid w:val="223C1E72"/>
    <w:rsid w:val="224409DF"/>
    <w:rsid w:val="22696D78"/>
    <w:rsid w:val="22785ADF"/>
    <w:rsid w:val="229D6875"/>
    <w:rsid w:val="22D66243"/>
    <w:rsid w:val="22E41CFA"/>
    <w:rsid w:val="22E74C76"/>
    <w:rsid w:val="22EE5862"/>
    <w:rsid w:val="22EE62C3"/>
    <w:rsid w:val="22F307A1"/>
    <w:rsid w:val="232F735E"/>
    <w:rsid w:val="23454166"/>
    <w:rsid w:val="23470DD3"/>
    <w:rsid w:val="235C0446"/>
    <w:rsid w:val="2363739D"/>
    <w:rsid w:val="238F3ACB"/>
    <w:rsid w:val="23AB2753"/>
    <w:rsid w:val="23BC3936"/>
    <w:rsid w:val="23EF32E5"/>
    <w:rsid w:val="240F010D"/>
    <w:rsid w:val="24247062"/>
    <w:rsid w:val="243E45C7"/>
    <w:rsid w:val="24424650"/>
    <w:rsid w:val="24BE1D3F"/>
    <w:rsid w:val="24FD52C4"/>
    <w:rsid w:val="2524556B"/>
    <w:rsid w:val="25273FA6"/>
    <w:rsid w:val="252E2A3C"/>
    <w:rsid w:val="25396F57"/>
    <w:rsid w:val="254D2B5D"/>
    <w:rsid w:val="25755DC7"/>
    <w:rsid w:val="259C57FC"/>
    <w:rsid w:val="25B4016D"/>
    <w:rsid w:val="25E56D1A"/>
    <w:rsid w:val="25EC5DF0"/>
    <w:rsid w:val="25F87673"/>
    <w:rsid w:val="26052978"/>
    <w:rsid w:val="261B11B8"/>
    <w:rsid w:val="263C68E5"/>
    <w:rsid w:val="265D1A6F"/>
    <w:rsid w:val="268362C1"/>
    <w:rsid w:val="269303EE"/>
    <w:rsid w:val="26B35926"/>
    <w:rsid w:val="26F83306"/>
    <w:rsid w:val="2703259D"/>
    <w:rsid w:val="27046C82"/>
    <w:rsid w:val="27437A95"/>
    <w:rsid w:val="27497A41"/>
    <w:rsid w:val="27814C6F"/>
    <w:rsid w:val="278E3942"/>
    <w:rsid w:val="279F6240"/>
    <w:rsid w:val="27DC1CF7"/>
    <w:rsid w:val="27F8429D"/>
    <w:rsid w:val="28032C4F"/>
    <w:rsid w:val="28157E32"/>
    <w:rsid w:val="282A114A"/>
    <w:rsid w:val="283474EF"/>
    <w:rsid w:val="284952E9"/>
    <w:rsid w:val="284A15F7"/>
    <w:rsid w:val="287B329F"/>
    <w:rsid w:val="28903053"/>
    <w:rsid w:val="28C01A4F"/>
    <w:rsid w:val="28DD687E"/>
    <w:rsid w:val="28EC0579"/>
    <w:rsid w:val="29142381"/>
    <w:rsid w:val="29506A40"/>
    <w:rsid w:val="295D49CD"/>
    <w:rsid w:val="296A3B2A"/>
    <w:rsid w:val="29A04A56"/>
    <w:rsid w:val="29A60064"/>
    <w:rsid w:val="29B96AF2"/>
    <w:rsid w:val="29CD6057"/>
    <w:rsid w:val="29DC556C"/>
    <w:rsid w:val="29ED220A"/>
    <w:rsid w:val="29FC4FE3"/>
    <w:rsid w:val="2A353998"/>
    <w:rsid w:val="2A497822"/>
    <w:rsid w:val="2A9A62D0"/>
    <w:rsid w:val="2AAC67B1"/>
    <w:rsid w:val="2AF307E0"/>
    <w:rsid w:val="2B1D277D"/>
    <w:rsid w:val="2B1E0AB3"/>
    <w:rsid w:val="2B34402E"/>
    <w:rsid w:val="2B453124"/>
    <w:rsid w:val="2B72753D"/>
    <w:rsid w:val="2B793EEE"/>
    <w:rsid w:val="2B9417B8"/>
    <w:rsid w:val="2BC80AD2"/>
    <w:rsid w:val="2BFA6826"/>
    <w:rsid w:val="2C0B4B81"/>
    <w:rsid w:val="2C1D0F66"/>
    <w:rsid w:val="2C406162"/>
    <w:rsid w:val="2C5607DD"/>
    <w:rsid w:val="2C630EA2"/>
    <w:rsid w:val="2C7B4409"/>
    <w:rsid w:val="2CAC4444"/>
    <w:rsid w:val="2CB26E8F"/>
    <w:rsid w:val="2CFB619E"/>
    <w:rsid w:val="2D0E3A61"/>
    <w:rsid w:val="2D111CB6"/>
    <w:rsid w:val="2D11433C"/>
    <w:rsid w:val="2D862863"/>
    <w:rsid w:val="2D8F7C42"/>
    <w:rsid w:val="2D934D7B"/>
    <w:rsid w:val="2DBB186D"/>
    <w:rsid w:val="2DD73563"/>
    <w:rsid w:val="2DEF51A3"/>
    <w:rsid w:val="2DF4595A"/>
    <w:rsid w:val="2E206AEC"/>
    <w:rsid w:val="2E8D6E41"/>
    <w:rsid w:val="2E94175C"/>
    <w:rsid w:val="2F1C4E94"/>
    <w:rsid w:val="2F2A4A31"/>
    <w:rsid w:val="2F363314"/>
    <w:rsid w:val="2F5C1CF0"/>
    <w:rsid w:val="2F5F664A"/>
    <w:rsid w:val="2FB2218E"/>
    <w:rsid w:val="2FBB67FD"/>
    <w:rsid w:val="2FC279D2"/>
    <w:rsid w:val="2FDD4C94"/>
    <w:rsid w:val="30263C7D"/>
    <w:rsid w:val="303304B4"/>
    <w:rsid w:val="306C53F9"/>
    <w:rsid w:val="306E7FE2"/>
    <w:rsid w:val="30833701"/>
    <w:rsid w:val="308C7C9A"/>
    <w:rsid w:val="309612E7"/>
    <w:rsid w:val="30B324B7"/>
    <w:rsid w:val="30B6196F"/>
    <w:rsid w:val="30EB1210"/>
    <w:rsid w:val="31003E73"/>
    <w:rsid w:val="31014C08"/>
    <w:rsid w:val="31083F93"/>
    <w:rsid w:val="31413001"/>
    <w:rsid w:val="315C53F9"/>
    <w:rsid w:val="3169176E"/>
    <w:rsid w:val="31806EC2"/>
    <w:rsid w:val="318D5982"/>
    <w:rsid w:val="31CE2772"/>
    <w:rsid w:val="31D125D7"/>
    <w:rsid w:val="31D312A0"/>
    <w:rsid w:val="31E87920"/>
    <w:rsid w:val="323A056C"/>
    <w:rsid w:val="32481681"/>
    <w:rsid w:val="325C104A"/>
    <w:rsid w:val="327029CA"/>
    <w:rsid w:val="32743529"/>
    <w:rsid w:val="32AD3655"/>
    <w:rsid w:val="32B44306"/>
    <w:rsid w:val="32BE1797"/>
    <w:rsid w:val="32BE5342"/>
    <w:rsid w:val="32C2078F"/>
    <w:rsid w:val="32D85BE7"/>
    <w:rsid w:val="32DA21BA"/>
    <w:rsid w:val="32DB28F7"/>
    <w:rsid w:val="32DF2A9B"/>
    <w:rsid w:val="32FC29F3"/>
    <w:rsid w:val="3308075F"/>
    <w:rsid w:val="333A67F7"/>
    <w:rsid w:val="333B1446"/>
    <w:rsid w:val="335A2168"/>
    <w:rsid w:val="336761C3"/>
    <w:rsid w:val="33852BDF"/>
    <w:rsid w:val="33B9186A"/>
    <w:rsid w:val="33C85C5B"/>
    <w:rsid w:val="33E2056E"/>
    <w:rsid w:val="34151B5A"/>
    <w:rsid w:val="34385D18"/>
    <w:rsid w:val="344005B6"/>
    <w:rsid w:val="346960F9"/>
    <w:rsid w:val="34735842"/>
    <w:rsid w:val="348C2C0E"/>
    <w:rsid w:val="34B86931"/>
    <w:rsid w:val="34BC0833"/>
    <w:rsid w:val="34D50699"/>
    <w:rsid w:val="34E97F26"/>
    <w:rsid w:val="34F95AD3"/>
    <w:rsid w:val="355B79C0"/>
    <w:rsid w:val="35DD7439"/>
    <w:rsid w:val="35F93D1E"/>
    <w:rsid w:val="36056CF3"/>
    <w:rsid w:val="362B0A87"/>
    <w:rsid w:val="364C7FE8"/>
    <w:rsid w:val="366E2AEA"/>
    <w:rsid w:val="368D4E24"/>
    <w:rsid w:val="36BA6444"/>
    <w:rsid w:val="36E7595F"/>
    <w:rsid w:val="370F635B"/>
    <w:rsid w:val="372C52B2"/>
    <w:rsid w:val="3765016C"/>
    <w:rsid w:val="377D3CD2"/>
    <w:rsid w:val="37BA58BB"/>
    <w:rsid w:val="37DA41AF"/>
    <w:rsid w:val="37DF17C6"/>
    <w:rsid w:val="38571B5E"/>
    <w:rsid w:val="38A24CCD"/>
    <w:rsid w:val="38C421B1"/>
    <w:rsid w:val="38CD09F5"/>
    <w:rsid w:val="38E276A3"/>
    <w:rsid w:val="38EF7140"/>
    <w:rsid w:val="38F76D3C"/>
    <w:rsid w:val="38FB291B"/>
    <w:rsid w:val="390F2243"/>
    <w:rsid w:val="391425F7"/>
    <w:rsid w:val="392403D8"/>
    <w:rsid w:val="39241169"/>
    <w:rsid w:val="396D59CC"/>
    <w:rsid w:val="396F0148"/>
    <w:rsid w:val="39904FFA"/>
    <w:rsid w:val="3998511D"/>
    <w:rsid w:val="39A22DF4"/>
    <w:rsid w:val="39A80CF3"/>
    <w:rsid w:val="39B60E8F"/>
    <w:rsid w:val="39CC2A82"/>
    <w:rsid w:val="39CE5047"/>
    <w:rsid w:val="39E027C2"/>
    <w:rsid w:val="39E12455"/>
    <w:rsid w:val="39E278DC"/>
    <w:rsid w:val="39EA051A"/>
    <w:rsid w:val="39EB4452"/>
    <w:rsid w:val="39EC3969"/>
    <w:rsid w:val="39FA02BA"/>
    <w:rsid w:val="3A0929D5"/>
    <w:rsid w:val="3A1A0893"/>
    <w:rsid w:val="3A21780D"/>
    <w:rsid w:val="3A2622F6"/>
    <w:rsid w:val="3A3808CE"/>
    <w:rsid w:val="3A3F36E5"/>
    <w:rsid w:val="3A7570A0"/>
    <w:rsid w:val="3A806872"/>
    <w:rsid w:val="3ABD4DA4"/>
    <w:rsid w:val="3AD7545E"/>
    <w:rsid w:val="3AE32839"/>
    <w:rsid w:val="3B1219D2"/>
    <w:rsid w:val="3B367DE4"/>
    <w:rsid w:val="3B3717BF"/>
    <w:rsid w:val="3B45071A"/>
    <w:rsid w:val="3B4C2CCE"/>
    <w:rsid w:val="3B6B5F60"/>
    <w:rsid w:val="3B7300EC"/>
    <w:rsid w:val="3B8A393B"/>
    <w:rsid w:val="3BAD413C"/>
    <w:rsid w:val="3BB558CE"/>
    <w:rsid w:val="3BC2056E"/>
    <w:rsid w:val="3BC46B96"/>
    <w:rsid w:val="3BCE69DE"/>
    <w:rsid w:val="3BEC1BDD"/>
    <w:rsid w:val="3BFE7EBF"/>
    <w:rsid w:val="3C0A14BE"/>
    <w:rsid w:val="3C2B3DE6"/>
    <w:rsid w:val="3C495460"/>
    <w:rsid w:val="3C5938F5"/>
    <w:rsid w:val="3CA44C61"/>
    <w:rsid w:val="3CCD7E3F"/>
    <w:rsid w:val="3CCF578C"/>
    <w:rsid w:val="3CD15B81"/>
    <w:rsid w:val="3CFC5837"/>
    <w:rsid w:val="3D5A13B1"/>
    <w:rsid w:val="3DF43324"/>
    <w:rsid w:val="3DFC4628"/>
    <w:rsid w:val="3E1C26FC"/>
    <w:rsid w:val="3E5144CF"/>
    <w:rsid w:val="3E944577"/>
    <w:rsid w:val="3ED100BA"/>
    <w:rsid w:val="3EF92944"/>
    <w:rsid w:val="3F131518"/>
    <w:rsid w:val="3F16680E"/>
    <w:rsid w:val="3F6D4F39"/>
    <w:rsid w:val="3F716CF5"/>
    <w:rsid w:val="3F9F4E81"/>
    <w:rsid w:val="3FB558D6"/>
    <w:rsid w:val="3FE148A8"/>
    <w:rsid w:val="3FEF334E"/>
    <w:rsid w:val="40714F85"/>
    <w:rsid w:val="40776135"/>
    <w:rsid w:val="409C284C"/>
    <w:rsid w:val="40BA0E60"/>
    <w:rsid w:val="40C81E0C"/>
    <w:rsid w:val="41083B3B"/>
    <w:rsid w:val="411B2BE7"/>
    <w:rsid w:val="415B243E"/>
    <w:rsid w:val="417B0EAE"/>
    <w:rsid w:val="41826724"/>
    <w:rsid w:val="418B5A00"/>
    <w:rsid w:val="41A73354"/>
    <w:rsid w:val="41B24056"/>
    <w:rsid w:val="41CC4B69"/>
    <w:rsid w:val="41CE1354"/>
    <w:rsid w:val="41DD054B"/>
    <w:rsid w:val="41FB36A0"/>
    <w:rsid w:val="4253528A"/>
    <w:rsid w:val="42754EE0"/>
    <w:rsid w:val="428A7C17"/>
    <w:rsid w:val="42A718AA"/>
    <w:rsid w:val="42AE426E"/>
    <w:rsid w:val="42AF57EB"/>
    <w:rsid w:val="42D73D62"/>
    <w:rsid w:val="42E14644"/>
    <w:rsid w:val="42F04FAB"/>
    <w:rsid w:val="43654AFE"/>
    <w:rsid w:val="43A159A3"/>
    <w:rsid w:val="43F751F0"/>
    <w:rsid w:val="442A25B9"/>
    <w:rsid w:val="44357057"/>
    <w:rsid w:val="44566A49"/>
    <w:rsid w:val="44843B41"/>
    <w:rsid w:val="44931401"/>
    <w:rsid w:val="44B15F50"/>
    <w:rsid w:val="44CA30FE"/>
    <w:rsid w:val="44E01144"/>
    <w:rsid w:val="44F529B8"/>
    <w:rsid w:val="450A3CA6"/>
    <w:rsid w:val="4527534D"/>
    <w:rsid w:val="453C62A9"/>
    <w:rsid w:val="456D2FD6"/>
    <w:rsid w:val="45CF69D6"/>
    <w:rsid w:val="45D90CED"/>
    <w:rsid w:val="45EF2DFE"/>
    <w:rsid w:val="463475C6"/>
    <w:rsid w:val="464F52D1"/>
    <w:rsid w:val="465A3F27"/>
    <w:rsid w:val="46946B53"/>
    <w:rsid w:val="46B24D85"/>
    <w:rsid w:val="471160F4"/>
    <w:rsid w:val="474156B1"/>
    <w:rsid w:val="475B17A5"/>
    <w:rsid w:val="47D520C8"/>
    <w:rsid w:val="47DA5262"/>
    <w:rsid w:val="483C7C60"/>
    <w:rsid w:val="484A6E97"/>
    <w:rsid w:val="48577D69"/>
    <w:rsid w:val="487B36AC"/>
    <w:rsid w:val="48952816"/>
    <w:rsid w:val="48E5660A"/>
    <w:rsid w:val="49013421"/>
    <w:rsid w:val="490C7880"/>
    <w:rsid w:val="49225B3C"/>
    <w:rsid w:val="49425710"/>
    <w:rsid w:val="495E334C"/>
    <w:rsid w:val="496569C4"/>
    <w:rsid w:val="49786554"/>
    <w:rsid w:val="49825945"/>
    <w:rsid w:val="49836455"/>
    <w:rsid w:val="49B25AB0"/>
    <w:rsid w:val="49C96EA1"/>
    <w:rsid w:val="49DD04D1"/>
    <w:rsid w:val="49EA3A51"/>
    <w:rsid w:val="4A152A6B"/>
    <w:rsid w:val="4A203629"/>
    <w:rsid w:val="4A301A24"/>
    <w:rsid w:val="4A3D58AA"/>
    <w:rsid w:val="4A5E2A1E"/>
    <w:rsid w:val="4A5F404B"/>
    <w:rsid w:val="4A704B41"/>
    <w:rsid w:val="4A8D3285"/>
    <w:rsid w:val="4A98226A"/>
    <w:rsid w:val="4AA3222B"/>
    <w:rsid w:val="4AAD1DBA"/>
    <w:rsid w:val="4AC70825"/>
    <w:rsid w:val="4ACD12F9"/>
    <w:rsid w:val="4AF1232C"/>
    <w:rsid w:val="4AF84E98"/>
    <w:rsid w:val="4B1165B3"/>
    <w:rsid w:val="4B2B05F3"/>
    <w:rsid w:val="4B425E9C"/>
    <w:rsid w:val="4B68071D"/>
    <w:rsid w:val="4B7A7752"/>
    <w:rsid w:val="4B875F83"/>
    <w:rsid w:val="4BBC17AA"/>
    <w:rsid w:val="4BC30D8B"/>
    <w:rsid w:val="4BC36FDC"/>
    <w:rsid w:val="4BF453E8"/>
    <w:rsid w:val="4BFB7AB5"/>
    <w:rsid w:val="4C1E4027"/>
    <w:rsid w:val="4C1E5473"/>
    <w:rsid w:val="4C392114"/>
    <w:rsid w:val="4C6F0F12"/>
    <w:rsid w:val="4C884C4C"/>
    <w:rsid w:val="4CD20516"/>
    <w:rsid w:val="4CE948F5"/>
    <w:rsid w:val="4D1578B9"/>
    <w:rsid w:val="4D7F6F33"/>
    <w:rsid w:val="4D9D7640"/>
    <w:rsid w:val="4DB0247E"/>
    <w:rsid w:val="4DB43C8A"/>
    <w:rsid w:val="4DCC28BC"/>
    <w:rsid w:val="4DCD5D1D"/>
    <w:rsid w:val="4E8F764A"/>
    <w:rsid w:val="4ECA47EA"/>
    <w:rsid w:val="4ECE1E61"/>
    <w:rsid w:val="4ED24783"/>
    <w:rsid w:val="4F192763"/>
    <w:rsid w:val="4F2204BE"/>
    <w:rsid w:val="4F22226C"/>
    <w:rsid w:val="4F3501F1"/>
    <w:rsid w:val="4F45397B"/>
    <w:rsid w:val="4F495A4B"/>
    <w:rsid w:val="4F673C73"/>
    <w:rsid w:val="4F7978D6"/>
    <w:rsid w:val="4F954F27"/>
    <w:rsid w:val="4F95526F"/>
    <w:rsid w:val="4F9E7830"/>
    <w:rsid w:val="4FA62E9D"/>
    <w:rsid w:val="4FC132FA"/>
    <w:rsid w:val="502D711A"/>
    <w:rsid w:val="5084795E"/>
    <w:rsid w:val="508F3510"/>
    <w:rsid w:val="509A4660"/>
    <w:rsid w:val="50F70D9C"/>
    <w:rsid w:val="51013454"/>
    <w:rsid w:val="511D36DC"/>
    <w:rsid w:val="515A51D2"/>
    <w:rsid w:val="518B336F"/>
    <w:rsid w:val="519478E5"/>
    <w:rsid w:val="519531C9"/>
    <w:rsid w:val="51B86C95"/>
    <w:rsid w:val="5288688A"/>
    <w:rsid w:val="52C118CB"/>
    <w:rsid w:val="52FD67AC"/>
    <w:rsid w:val="53031B15"/>
    <w:rsid w:val="53692AC9"/>
    <w:rsid w:val="536C2E61"/>
    <w:rsid w:val="53910E0F"/>
    <w:rsid w:val="53A45945"/>
    <w:rsid w:val="53B01114"/>
    <w:rsid w:val="53B637C9"/>
    <w:rsid w:val="53BB2B25"/>
    <w:rsid w:val="53EB1F23"/>
    <w:rsid w:val="540B1521"/>
    <w:rsid w:val="54187E9C"/>
    <w:rsid w:val="542B072D"/>
    <w:rsid w:val="54380EC8"/>
    <w:rsid w:val="54620295"/>
    <w:rsid w:val="54E01871"/>
    <w:rsid w:val="54F254FC"/>
    <w:rsid w:val="550A78EC"/>
    <w:rsid w:val="552B3D5F"/>
    <w:rsid w:val="559C7C25"/>
    <w:rsid w:val="55B07746"/>
    <w:rsid w:val="55BB0D24"/>
    <w:rsid w:val="55DE2A3D"/>
    <w:rsid w:val="562B4E3E"/>
    <w:rsid w:val="562C2483"/>
    <w:rsid w:val="564451BE"/>
    <w:rsid w:val="56A24778"/>
    <w:rsid w:val="56BE394E"/>
    <w:rsid w:val="56CB1426"/>
    <w:rsid w:val="56F6271C"/>
    <w:rsid w:val="574A68C4"/>
    <w:rsid w:val="57617E6C"/>
    <w:rsid w:val="57692C03"/>
    <w:rsid w:val="576B7E0E"/>
    <w:rsid w:val="57983795"/>
    <w:rsid w:val="579F188E"/>
    <w:rsid w:val="579F4A9D"/>
    <w:rsid w:val="57A15795"/>
    <w:rsid w:val="57A6123A"/>
    <w:rsid w:val="57D8796C"/>
    <w:rsid w:val="57F3496D"/>
    <w:rsid w:val="58424BDE"/>
    <w:rsid w:val="58555918"/>
    <w:rsid w:val="586D5395"/>
    <w:rsid w:val="58821851"/>
    <w:rsid w:val="58902D21"/>
    <w:rsid w:val="58C9133D"/>
    <w:rsid w:val="58F10AFE"/>
    <w:rsid w:val="59004C67"/>
    <w:rsid w:val="590D6500"/>
    <w:rsid w:val="591946E0"/>
    <w:rsid w:val="593A321B"/>
    <w:rsid w:val="5941761E"/>
    <w:rsid w:val="595D6CCC"/>
    <w:rsid w:val="59613991"/>
    <w:rsid w:val="59AB510D"/>
    <w:rsid w:val="59B95C66"/>
    <w:rsid w:val="59C809FE"/>
    <w:rsid w:val="59DA2931"/>
    <w:rsid w:val="5A1D36D7"/>
    <w:rsid w:val="5A4A2677"/>
    <w:rsid w:val="5A852801"/>
    <w:rsid w:val="5AA24261"/>
    <w:rsid w:val="5AD52888"/>
    <w:rsid w:val="5B232A2C"/>
    <w:rsid w:val="5B293D83"/>
    <w:rsid w:val="5B352F53"/>
    <w:rsid w:val="5B7163FA"/>
    <w:rsid w:val="5B9662C9"/>
    <w:rsid w:val="5BA84BC0"/>
    <w:rsid w:val="5BAB3C8A"/>
    <w:rsid w:val="5BD141DA"/>
    <w:rsid w:val="5C141FB7"/>
    <w:rsid w:val="5C301A80"/>
    <w:rsid w:val="5C337842"/>
    <w:rsid w:val="5C4001D5"/>
    <w:rsid w:val="5C4B45AD"/>
    <w:rsid w:val="5C5808D6"/>
    <w:rsid w:val="5C732359"/>
    <w:rsid w:val="5C816850"/>
    <w:rsid w:val="5C826B51"/>
    <w:rsid w:val="5C9E2577"/>
    <w:rsid w:val="5CA0213A"/>
    <w:rsid w:val="5CA44524"/>
    <w:rsid w:val="5CBC3B42"/>
    <w:rsid w:val="5CE768A3"/>
    <w:rsid w:val="5CEA08DF"/>
    <w:rsid w:val="5CFA24EF"/>
    <w:rsid w:val="5D320D12"/>
    <w:rsid w:val="5DBD2974"/>
    <w:rsid w:val="5DDA759F"/>
    <w:rsid w:val="5E3239CA"/>
    <w:rsid w:val="5E61304E"/>
    <w:rsid w:val="5E6A153A"/>
    <w:rsid w:val="5E923C49"/>
    <w:rsid w:val="5E987E55"/>
    <w:rsid w:val="5F011BCF"/>
    <w:rsid w:val="5F190554"/>
    <w:rsid w:val="5F3625DE"/>
    <w:rsid w:val="5F626B29"/>
    <w:rsid w:val="5F70219F"/>
    <w:rsid w:val="5F796A1B"/>
    <w:rsid w:val="5FA547D0"/>
    <w:rsid w:val="5FA97E40"/>
    <w:rsid w:val="5FE315A4"/>
    <w:rsid w:val="5FE403A9"/>
    <w:rsid w:val="601817FE"/>
    <w:rsid w:val="602A6D31"/>
    <w:rsid w:val="608C5797"/>
    <w:rsid w:val="609410A1"/>
    <w:rsid w:val="60AC2E28"/>
    <w:rsid w:val="60D84662"/>
    <w:rsid w:val="60FA1991"/>
    <w:rsid w:val="610B41C1"/>
    <w:rsid w:val="610D0FF3"/>
    <w:rsid w:val="61182871"/>
    <w:rsid w:val="61572D1F"/>
    <w:rsid w:val="619830D1"/>
    <w:rsid w:val="619C1438"/>
    <w:rsid w:val="61A134C4"/>
    <w:rsid w:val="61E76376"/>
    <w:rsid w:val="624350F9"/>
    <w:rsid w:val="624A4268"/>
    <w:rsid w:val="62632EA9"/>
    <w:rsid w:val="62A75C58"/>
    <w:rsid w:val="62C92502"/>
    <w:rsid w:val="62CB4CB6"/>
    <w:rsid w:val="62EA4AD8"/>
    <w:rsid w:val="63020EC6"/>
    <w:rsid w:val="63051831"/>
    <w:rsid w:val="6347263D"/>
    <w:rsid w:val="634A6C06"/>
    <w:rsid w:val="63571EDC"/>
    <w:rsid w:val="63894210"/>
    <w:rsid w:val="63C27722"/>
    <w:rsid w:val="63CB2A7A"/>
    <w:rsid w:val="63DE0D1B"/>
    <w:rsid w:val="640970FF"/>
    <w:rsid w:val="64153CF6"/>
    <w:rsid w:val="64250520"/>
    <w:rsid w:val="643028DD"/>
    <w:rsid w:val="646E74D1"/>
    <w:rsid w:val="64754794"/>
    <w:rsid w:val="64956148"/>
    <w:rsid w:val="64A03E97"/>
    <w:rsid w:val="654C1BB4"/>
    <w:rsid w:val="65587861"/>
    <w:rsid w:val="65743D6A"/>
    <w:rsid w:val="65777A33"/>
    <w:rsid w:val="658D431E"/>
    <w:rsid w:val="660F562D"/>
    <w:rsid w:val="661C1D55"/>
    <w:rsid w:val="662D5327"/>
    <w:rsid w:val="663D02AB"/>
    <w:rsid w:val="6688240A"/>
    <w:rsid w:val="67254BBD"/>
    <w:rsid w:val="67284F41"/>
    <w:rsid w:val="672B4598"/>
    <w:rsid w:val="673B36F4"/>
    <w:rsid w:val="67476203"/>
    <w:rsid w:val="675279B7"/>
    <w:rsid w:val="67674777"/>
    <w:rsid w:val="678304AF"/>
    <w:rsid w:val="678D5B25"/>
    <w:rsid w:val="679C2069"/>
    <w:rsid w:val="67A30475"/>
    <w:rsid w:val="67B709D6"/>
    <w:rsid w:val="67C6330A"/>
    <w:rsid w:val="67DC5D00"/>
    <w:rsid w:val="67FC2E32"/>
    <w:rsid w:val="67FC3439"/>
    <w:rsid w:val="68201A4B"/>
    <w:rsid w:val="68680898"/>
    <w:rsid w:val="68724A84"/>
    <w:rsid w:val="68B00B32"/>
    <w:rsid w:val="68B95650"/>
    <w:rsid w:val="68C63B5A"/>
    <w:rsid w:val="68D90C8B"/>
    <w:rsid w:val="68E025D1"/>
    <w:rsid w:val="68F55EAE"/>
    <w:rsid w:val="68F760C0"/>
    <w:rsid w:val="68F85BA3"/>
    <w:rsid w:val="690A5DF3"/>
    <w:rsid w:val="69674FF3"/>
    <w:rsid w:val="6978587C"/>
    <w:rsid w:val="6988086B"/>
    <w:rsid w:val="69BF6BDD"/>
    <w:rsid w:val="69D33BE7"/>
    <w:rsid w:val="69F33A7A"/>
    <w:rsid w:val="69F47A43"/>
    <w:rsid w:val="6A0E4A1D"/>
    <w:rsid w:val="6A175DE8"/>
    <w:rsid w:val="6A1E7473"/>
    <w:rsid w:val="6A435388"/>
    <w:rsid w:val="6A5E6BE6"/>
    <w:rsid w:val="6A7A2B04"/>
    <w:rsid w:val="6A7B56C3"/>
    <w:rsid w:val="6A9242F2"/>
    <w:rsid w:val="6AC66597"/>
    <w:rsid w:val="6B080452"/>
    <w:rsid w:val="6B0E3F4A"/>
    <w:rsid w:val="6B3D5CD6"/>
    <w:rsid w:val="6B8A0A6F"/>
    <w:rsid w:val="6B8C29D5"/>
    <w:rsid w:val="6B9D2AA6"/>
    <w:rsid w:val="6BB17750"/>
    <w:rsid w:val="6BC33839"/>
    <w:rsid w:val="6BDB3034"/>
    <w:rsid w:val="6C2F6C22"/>
    <w:rsid w:val="6C5775A1"/>
    <w:rsid w:val="6C6B6010"/>
    <w:rsid w:val="6C7A7724"/>
    <w:rsid w:val="6CCF7844"/>
    <w:rsid w:val="6CD72490"/>
    <w:rsid w:val="6CFE1F35"/>
    <w:rsid w:val="6D0D4104"/>
    <w:rsid w:val="6D7952F5"/>
    <w:rsid w:val="6D884C76"/>
    <w:rsid w:val="6D994926"/>
    <w:rsid w:val="6DAF5E16"/>
    <w:rsid w:val="6DED193F"/>
    <w:rsid w:val="6DF252AD"/>
    <w:rsid w:val="6DF44E5D"/>
    <w:rsid w:val="6E1D7FF6"/>
    <w:rsid w:val="6E9F4187"/>
    <w:rsid w:val="6EB01B45"/>
    <w:rsid w:val="6EBA5DD4"/>
    <w:rsid w:val="6EBD7464"/>
    <w:rsid w:val="6EE15B07"/>
    <w:rsid w:val="6EE730B6"/>
    <w:rsid w:val="6EE8172E"/>
    <w:rsid w:val="6F406567"/>
    <w:rsid w:val="6F4B0F13"/>
    <w:rsid w:val="6F4B5E42"/>
    <w:rsid w:val="6F5222A2"/>
    <w:rsid w:val="6FAA5B2A"/>
    <w:rsid w:val="6FC822D0"/>
    <w:rsid w:val="6FCF5B9E"/>
    <w:rsid w:val="7007308C"/>
    <w:rsid w:val="701B6B38"/>
    <w:rsid w:val="701E2184"/>
    <w:rsid w:val="702F613F"/>
    <w:rsid w:val="70351623"/>
    <w:rsid w:val="703B2711"/>
    <w:rsid w:val="707F3A1C"/>
    <w:rsid w:val="708B5A6B"/>
    <w:rsid w:val="70961244"/>
    <w:rsid w:val="709A77FF"/>
    <w:rsid w:val="70B2124A"/>
    <w:rsid w:val="712B25C9"/>
    <w:rsid w:val="714123CE"/>
    <w:rsid w:val="714421E1"/>
    <w:rsid w:val="714B51FB"/>
    <w:rsid w:val="71583F14"/>
    <w:rsid w:val="715F32C2"/>
    <w:rsid w:val="71A4709A"/>
    <w:rsid w:val="72220DA8"/>
    <w:rsid w:val="72606204"/>
    <w:rsid w:val="7285321E"/>
    <w:rsid w:val="72954BE7"/>
    <w:rsid w:val="72B979C5"/>
    <w:rsid w:val="73080361"/>
    <w:rsid w:val="731004AA"/>
    <w:rsid w:val="73127121"/>
    <w:rsid w:val="731752D7"/>
    <w:rsid w:val="73A6516D"/>
    <w:rsid w:val="73B36483"/>
    <w:rsid w:val="73BE16E0"/>
    <w:rsid w:val="73DA22D0"/>
    <w:rsid w:val="73F27BAF"/>
    <w:rsid w:val="743970F8"/>
    <w:rsid w:val="744A59BE"/>
    <w:rsid w:val="74687ACD"/>
    <w:rsid w:val="747A5831"/>
    <w:rsid w:val="74A651E2"/>
    <w:rsid w:val="74BF60D1"/>
    <w:rsid w:val="74F07B2E"/>
    <w:rsid w:val="74F636CF"/>
    <w:rsid w:val="74FA4462"/>
    <w:rsid w:val="753D12FE"/>
    <w:rsid w:val="75895CEC"/>
    <w:rsid w:val="75A86778"/>
    <w:rsid w:val="75B07D22"/>
    <w:rsid w:val="7609536D"/>
    <w:rsid w:val="760C4AC0"/>
    <w:rsid w:val="761E4C8C"/>
    <w:rsid w:val="76A440CA"/>
    <w:rsid w:val="76BD6060"/>
    <w:rsid w:val="76E91BE4"/>
    <w:rsid w:val="76F4501A"/>
    <w:rsid w:val="77122396"/>
    <w:rsid w:val="771B4AB6"/>
    <w:rsid w:val="77390453"/>
    <w:rsid w:val="77433A7A"/>
    <w:rsid w:val="775A7F45"/>
    <w:rsid w:val="779B1C7C"/>
    <w:rsid w:val="77A41F1A"/>
    <w:rsid w:val="77F13EF0"/>
    <w:rsid w:val="7808361A"/>
    <w:rsid w:val="780C63D5"/>
    <w:rsid w:val="785B25DD"/>
    <w:rsid w:val="78636067"/>
    <w:rsid w:val="7866354D"/>
    <w:rsid w:val="786848E4"/>
    <w:rsid w:val="789613EB"/>
    <w:rsid w:val="78FE72BB"/>
    <w:rsid w:val="792C4A7D"/>
    <w:rsid w:val="793B2EE4"/>
    <w:rsid w:val="795450A1"/>
    <w:rsid w:val="79EB2AFD"/>
    <w:rsid w:val="79EC5D79"/>
    <w:rsid w:val="79F3055C"/>
    <w:rsid w:val="7A1F78D9"/>
    <w:rsid w:val="7A39444D"/>
    <w:rsid w:val="7A657EF8"/>
    <w:rsid w:val="7A757A75"/>
    <w:rsid w:val="7A9A1E68"/>
    <w:rsid w:val="7AE62C3C"/>
    <w:rsid w:val="7B0A7C76"/>
    <w:rsid w:val="7B174A5B"/>
    <w:rsid w:val="7B3A1278"/>
    <w:rsid w:val="7B5452A8"/>
    <w:rsid w:val="7B641083"/>
    <w:rsid w:val="7B701D01"/>
    <w:rsid w:val="7B78320B"/>
    <w:rsid w:val="7B7F5B85"/>
    <w:rsid w:val="7B7F680B"/>
    <w:rsid w:val="7BD23821"/>
    <w:rsid w:val="7BED31A1"/>
    <w:rsid w:val="7C0419CE"/>
    <w:rsid w:val="7C0F4623"/>
    <w:rsid w:val="7C1C69FB"/>
    <w:rsid w:val="7C25465B"/>
    <w:rsid w:val="7C35223C"/>
    <w:rsid w:val="7C4116D4"/>
    <w:rsid w:val="7C482C12"/>
    <w:rsid w:val="7C506621"/>
    <w:rsid w:val="7C5A0F19"/>
    <w:rsid w:val="7C784990"/>
    <w:rsid w:val="7C7C44BA"/>
    <w:rsid w:val="7CCD1DCF"/>
    <w:rsid w:val="7CDE1FBF"/>
    <w:rsid w:val="7D272678"/>
    <w:rsid w:val="7D70369C"/>
    <w:rsid w:val="7D72026B"/>
    <w:rsid w:val="7D792545"/>
    <w:rsid w:val="7D8710BA"/>
    <w:rsid w:val="7D9119B2"/>
    <w:rsid w:val="7DA97B2B"/>
    <w:rsid w:val="7DEC38C1"/>
    <w:rsid w:val="7DF23542"/>
    <w:rsid w:val="7E05308E"/>
    <w:rsid w:val="7E0653D2"/>
    <w:rsid w:val="7E0B3D48"/>
    <w:rsid w:val="7E2A0282"/>
    <w:rsid w:val="7E4C41F6"/>
    <w:rsid w:val="7E520C26"/>
    <w:rsid w:val="7E65312E"/>
    <w:rsid w:val="7E6F4D21"/>
    <w:rsid w:val="7EB47CAC"/>
    <w:rsid w:val="7EC9095B"/>
    <w:rsid w:val="7F0029F4"/>
    <w:rsid w:val="7F08264C"/>
    <w:rsid w:val="7F226ED5"/>
    <w:rsid w:val="7F46776E"/>
    <w:rsid w:val="7F5F014E"/>
    <w:rsid w:val="7F8D1BE5"/>
    <w:rsid w:val="7FC4399B"/>
    <w:rsid w:val="7FD30D65"/>
    <w:rsid w:val="7FDE6F60"/>
    <w:rsid w:val="7FE94C3B"/>
    <w:rsid w:val="7FEB0E98"/>
    <w:rsid w:val="7FF654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9"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14:ligatures w14:val="standardContextual"/>
    </w:rPr>
  </w:style>
  <w:style w:type="paragraph" w:styleId="2">
    <w:name w:val="heading 1"/>
    <w:basedOn w:val="1"/>
    <w:next w:val="1"/>
    <w:link w:val="19"/>
    <w:autoRedefine/>
    <w:qFormat/>
    <w:uiPriority w:val="0"/>
    <w:pPr>
      <w:keepNext/>
      <w:keepLines/>
      <w:numPr>
        <w:ilvl w:val="0"/>
        <w:numId w:val="1"/>
      </w:numPr>
      <w:spacing w:before="120" w:after="120"/>
      <w:ind w:firstLineChars="0"/>
      <w:jc w:val="left"/>
      <w:outlineLvl w:val="0"/>
    </w:pPr>
    <w:rPr>
      <w:rFonts w:eastAsia="思源宋体 CN Light"/>
      <w:b/>
      <w:bCs/>
      <w:kern w:val="44"/>
      <w:sz w:val="32"/>
      <w:szCs w:val="44"/>
    </w:rPr>
  </w:style>
  <w:style w:type="paragraph" w:styleId="3">
    <w:name w:val="heading 2"/>
    <w:basedOn w:val="1"/>
    <w:next w:val="1"/>
    <w:autoRedefine/>
    <w:qFormat/>
    <w:uiPriority w:val="0"/>
    <w:pPr>
      <w:keepNext/>
      <w:keepLines/>
      <w:widowControl/>
      <w:numPr>
        <w:ilvl w:val="1"/>
        <w:numId w:val="1"/>
      </w:numPr>
      <w:spacing w:before="120" w:after="120" w:line="360" w:lineRule="auto"/>
      <w:ind w:left="435" w:hanging="576" w:firstLineChars="0"/>
      <w:jc w:val="left"/>
      <w:outlineLvl w:val="1"/>
    </w:pPr>
    <w:rPr>
      <w:rFonts w:ascii="Times New Roman" w:hAnsi="Times New Roman" w:eastAsia="思源宋体 CN Light" w:cs="Times New Roman"/>
      <w:b/>
      <w:bCs/>
      <w:sz w:val="30"/>
      <w:szCs w:val="32"/>
    </w:rPr>
  </w:style>
  <w:style w:type="paragraph" w:styleId="4">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7"/>
    <w:basedOn w:val="1"/>
    <w:next w:val="1"/>
    <w:autoRedefine/>
    <w:unhideWhenUsed/>
    <w:qFormat/>
    <w:uiPriority w:val="9"/>
    <w:pPr>
      <w:keepNext/>
      <w:keepLines/>
      <w:spacing w:before="240" w:after="64" w:line="320" w:lineRule="auto"/>
      <w:outlineLvl w:val="6"/>
    </w:pPr>
    <w:rPr>
      <w:bCs/>
      <w:szCs w:val="24"/>
    </w:rPr>
  </w:style>
  <w:style w:type="character" w:default="1" w:styleId="16">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7">
    <w:name w:val="Normal Indent"/>
    <w:basedOn w:val="1"/>
    <w:autoRedefine/>
    <w:unhideWhenUsed/>
    <w:qFormat/>
    <w:uiPriority w:val="99"/>
    <w:pPr>
      <w:ind w:firstLine="420" w:firstLineChars="200"/>
    </w:pPr>
  </w:style>
  <w:style w:type="paragraph" w:styleId="8">
    <w:name w:val="annotation text"/>
    <w:basedOn w:val="1"/>
    <w:autoRedefine/>
    <w:qFormat/>
    <w:uiPriority w:val="0"/>
    <w:pPr>
      <w:jc w:val="left"/>
    </w:pPr>
  </w:style>
  <w:style w:type="paragraph" w:styleId="9">
    <w:name w:val="toc 3"/>
    <w:basedOn w:val="1"/>
    <w:next w:val="1"/>
    <w:autoRedefine/>
    <w:qFormat/>
    <w:uiPriority w:val="0"/>
    <w:pPr>
      <w:ind w:left="840" w:leftChars="400"/>
    </w:p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autoRedefine/>
    <w:qFormat/>
    <w:uiPriority w:val="0"/>
  </w:style>
  <w:style w:type="paragraph" w:styleId="13">
    <w:name w:val="toc 2"/>
    <w:basedOn w:val="1"/>
    <w:next w:val="1"/>
    <w:autoRedefine/>
    <w:qFormat/>
    <w:uiPriority w:val="0"/>
    <w:pPr>
      <w:ind w:left="420" w:leftChars="200"/>
    </w:pPr>
  </w:style>
  <w:style w:type="paragraph" w:styleId="14">
    <w:name w:val="Normal (Web)"/>
    <w:basedOn w:val="1"/>
    <w:autoRedefine/>
    <w:qFormat/>
    <w:uiPriority w:val="0"/>
    <w:rPr>
      <w:sz w:val="24"/>
    </w:rPr>
  </w:style>
  <w:style w:type="character" w:styleId="17">
    <w:name w:val="Strong"/>
    <w:basedOn w:val="16"/>
    <w:autoRedefine/>
    <w:qFormat/>
    <w:uiPriority w:val="22"/>
    <w:rPr>
      <w:b/>
      <w:bCs/>
    </w:rPr>
  </w:style>
  <w:style w:type="character" w:styleId="18">
    <w:name w:val="Hyperlink"/>
    <w:basedOn w:val="16"/>
    <w:autoRedefine/>
    <w:qFormat/>
    <w:uiPriority w:val="0"/>
    <w:rPr>
      <w:color w:val="0000FF"/>
      <w:u w:val="single"/>
    </w:rPr>
  </w:style>
  <w:style w:type="character" w:customStyle="1" w:styleId="19">
    <w:name w:val="标题 1 字符"/>
    <w:link w:val="2"/>
    <w:autoRedefine/>
    <w:qFormat/>
    <w:uiPriority w:val="0"/>
    <w:rPr>
      <w:rFonts w:eastAsia="思源宋体 CN Light"/>
      <w:b/>
      <w:bCs/>
      <w:kern w:val="44"/>
      <w:sz w:val="32"/>
      <w:szCs w:val="44"/>
    </w:rPr>
  </w:style>
  <w:style w:type="paragraph" w:customStyle="1" w:styleId="20">
    <w:name w:val="正文说明"/>
    <w:basedOn w:val="1"/>
    <w:autoRedefine/>
    <w:qFormat/>
    <w:uiPriority w:val="0"/>
    <w:rPr>
      <w:b/>
      <w:sz w:val="18"/>
    </w:rPr>
  </w:style>
  <w:style w:type="paragraph" w:styleId="21">
    <w:name w:val="List Paragraph"/>
    <w:basedOn w:val="1"/>
    <w:autoRedefine/>
    <w:qFormat/>
    <w:uiPriority w:val="34"/>
    <w:pPr>
      <w:ind w:firstLine="420"/>
    </w:pPr>
  </w:style>
  <w:style w:type="paragraph" w:customStyle="1" w:styleId="22">
    <w:name w:val="正文图片"/>
    <w:basedOn w:val="1"/>
    <w:autoRedefine/>
    <w:qFormat/>
    <w:uiPriority w:val="0"/>
    <w:pPr>
      <w:spacing w:beforeLines="50" w:afterLines="50"/>
      <w:ind w:firstLine="0" w:firstLineChars="0"/>
      <w:jc w:val="center"/>
    </w:p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3" Type="http://schemas.openxmlformats.org/officeDocument/2006/relationships/fontTable" Target="fontTable.xml"/><Relationship Id="rId102" Type="http://schemas.openxmlformats.org/officeDocument/2006/relationships/numbering" Target="numbering.xml"/><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45</Pages>
  <Words>4818</Words>
  <Characters>4988</Characters>
  <Lines>0</Lines>
  <Paragraphs>0</Paragraphs>
  <TotalTime>27</TotalTime>
  <ScaleCrop>false</ScaleCrop>
  <LinksUpToDate>false</LinksUpToDate>
  <CharactersWithSpaces>5184</CharactersWithSpaces>
  <Application>WPS Office_12.1.0.23539_F1E327BC-269C-435d-A152-05C5408002CA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2025-05-20T07:41:00Z</dcterms:created>
  <dc:creator>Administrator</dc:creator>
  <cp:lastModifiedBy>韩力灬小飞贼</cp:lastModifiedBy>
  <dcterms:modified xsi:type="dcterms:W3CDTF">2025-11-14T11:43:06Z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2052-12.1.0.23539</vt:lpwstr>
  </property>
  <property fmtid="{D5CDD505-2E9C-101B-9397-08002B2CF9AE}" pid="3" name="ICV">
    <vt:lpwstr>7725AC4799444151981F761E4AE47826_13</vt:lpwstr>
  </property>
  <property fmtid="{D5CDD505-2E9C-101B-9397-08002B2CF9AE}" pid="4" name="KSOTemplateDocerSaveRecord">
    <vt:lpwstr>eyJoZGlkIjoiZDg4NGU2MzY4NmY0YzMyMzc2ZTI0MTdkN2EzZGNhZjgiLCJ1c2VySWQiOiI1NDg5NDg0NjQifQ==</vt:lpwstr>
  </property>
</Properties>
</file>