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9F2994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/>
          <w:sz w:val="44"/>
          <w:szCs w:val="44"/>
          <w:lang w:val="en-US" w:eastAsia="zh-CN"/>
        </w:rPr>
        <w:t>济南公共资源交易电子平台建设工程</w:t>
      </w:r>
    </w:p>
    <w:p w14:paraId="4FFF5520">
      <w:pPr>
        <w:spacing w:before="936" w:beforeLines="300"/>
        <w:ind w:left="0" w:leftChars="0" w:firstLine="0" w:firstLineChars="0"/>
        <w:jc w:val="center"/>
        <w:rPr>
          <w:rFonts w:hint="eastAsia" w:ascii="方正小标宋_GBK" w:hAnsi="方正小标宋_GBK" w:eastAsia="方正小标宋_GBK" w:cs="方正小标宋_GBK"/>
          <w:b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/>
          <w:sz w:val="44"/>
          <w:szCs w:val="44"/>
          <w:lang w:val="en-US" w:eastAsia="zh-CN"/>
        </w:rPr>
        <w:t>智能辅助评标</w:t>
      </w:r>
    </w:p>
    <w:p w14:paraId="2723B121">
      <w:pPr>
        <w:spacing w:before="936" w:beforeLines="300"/>
        <w:ind w:left="0" w:leftChars="0" w:firstLine="0" w:firstLineChars="0"/>
        <w:jc w:val="center"/>
        <w:rPr>
          <w:rFonts w:hint="eastAsia" w:ascii="黑体" w:hAnsi="黑体" w:eastAsia="黑体" w:cs="黑体"/>
          <w:b w:val="0"/>
          <w:bCs/>
          <w:sz w:val="44"/>
          <w:szCs w:val="44"/>
          <w:lang w:eastAsia="zh-CN"/>
        </w:rPr>
      </w:pPr>
      <w:r>
        <w:rPr>
          <w:rFonts w:hint="eastAsia" w:ascii="黑体" w:hAnsi="黑体" w:eastAsia="黑体" w:cs="黑体"/>
          <w:b w:val="0"/>
          <w:bCs/>
          <w:sz w:val="44"/>
          <w:szCs w:val="44"/>
          <w:lang w:val="en-US" w:eastAsia="zh-CN"/>
        </w:rPr>
        <w:t>招标代理</w:t>
      </w:r>
      <w:r>
        <w:rPr>
          <w:rFonts w:hint="eastAsia" w:ascii="黑体" w:hAnsi="黑体" w:eastAsia="黑体" w:cs="黑体"/>
          <w:b w:val="0"/>
          <w:bCs/>
          <w:sz w:val="44"/>
          <w:szCs w:val="44"/>
          <w:lang w:eastAsia="zh-CN"/>
        </w:rPr>
        <w:t>操作手册</w:t>
      </w:r>
    </w:p>
    <w:p w14:paraId="234712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华文仿宋" w:hAnsi="华文仿宋" w:eastAsia="华文仿宋" w:cs="华文仿宋"/>
          <w:b/>
          <w:sz w:val="40"/>
          <w:szCs w:val="40"/>
          <w:lang w:val="en-US" w:eastAsia="zh-CN"/>
        </w:rPr>
      </w:pPr>
    </w:p>
    <w:p w14:paraId="59981F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华文仿宋" w:hAnsi="华文仿宋" w:eastAsia="华文仿宋" w:cs="华文仿宋"/>
          <w:b/>
          <w:sz w:val="40"/>
          <w:szCs w:val="40"/>
          <w:lang w:val="en-US" w:eastAsia="zh-CN"/>
        </w:rPr>
      </w:pPr>
    </w:p>
    <w:p w14:paraId="13E73A5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华文仿宋" w:hAnsi="华文仿宋" w:eastAsia="华文仿宋" w:cs="华文仿宋"/>
          <w:b/>
          <w:sz w:val="40"/>
          <w:szCs w:val="40"/>
          <w:lang w:val="en-US" w:eastAsia="zh-CN"/>
        </w:rPr>
      </w:pPr>
    </w:p>
    <w:p w14:paraId="4FE1841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华文仿宋" w:hAnsi="华文仿宋" w:eastAsia="华文仿宋" w:cs="华文仿宋"/>
          <w:b/>
          <w:sz w:val="40"/>
          <w:szCs w:val="40"/>
          <w:lang w:val="en-US" w:eastAsia="zh-CN"/>
        </w:rPr>
      </w:pPr>
    </w:p>
    <w:p w14:paraId="63C00F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华文仿宋" w:hAnsi="华文仿宋" w:eastAsia="华文仿宋" w:cs="华文仿宋"/>
          <w:b/>
          <w:sz w:val="40"/>
          <w:szCs w:val="40"/>
          <w:lang w:val="en-US" w:eastAsia="zh-CN"/>
        </w:rPr>
      </w:pPr>
    </w:p>
    <w:p w14:paraId="4894CB7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华文仿宋" w:hAnsi="华文仿宋" w:eastAsia="华文仿宋" w:cs="华文仿宋"/>
          <w:b/>
          <w:sz w:val="40"/>
          <w:szCs w:val="40"/>
          <w:lang w:val="en-US" w:eastAsia="zh-CN"/>
        </w:rPr>
      </w:pPr>
    </w:p>
    <w:p w14:paraId="4AF0E43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华文仿宋" w:hAnsi="华文仿宋" w:eastAsia="华文仿宋" w:cs="华文仿宋"/>
          <w:b/>
          <w:sz w:val="40"/>
          <w:szCs w:val="40"/>
          <w:lang w:val="en-US" w:eastAsia="zh-CN"/>
        </w:rPr>
      </w:pPr>
    </w:p>
    <w:p w14:paraId="0FEFA47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华文仿宋" w:hAnsi="华文仿宋" w:eastAsia="华文仿宋" w:cs="华文仿宋"/>
          <w:b/>
          <w:sz w:val="40"/>
          <w:szCs w:val="40"/>
          <w:lang w:val="en-US" w:eastAsia="zh-CN"/>
        </w:rPr>
      </w:pPr>
    </w:p>
    <w:p w14:paraId="4F1B1A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华文仿宋" w:hAnsi="华文仿宋" w:eastAsia="华文仿宋" w:cs="华文仿宋"/>
          <w:b/>
          <w:sz w:val="40"/>
          <w:szCs w:val="40"/>
          <w:lang w:val="en-US" w:eastAsia="zh-CN"/>
        </w:rPr>
      </w:pPr>
    </w:p>
    <w:p w14:paraId="0D1FB2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华文仿宋" w:hAnsi="华文仿宋" w:eastAsia="华文仿宋" w:cs="华文仿宋"/>
          <w:b/>
          <w:sz w:val="40"/>
          <w:szCs w:val="40"/>
          <w:lang w:val="en-US" w:eastAsia="zh-CN"/>
        </w:rPr>
      </w:pPr>
    </w:p>
    <w:p w14:paraId="388EF80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华文仿宋" w:hAnsi="华文仿宋" w:eastAsia="华文仿宋" w:cs="华文仿宋"/>
          <w:b/>
          <w:sz w:val="40"/>
          <w:szCs w:val="40"/>
          <w:lang w:val="en-US" w:eastAsia="zh-CN"/>
        </w:rPr>
      </w:pPr>
      <w:bookmarkStart w:id="54" w:name="_GoBack"/>
      <w:bookmarkEnd w:id="54"/>
    </w:p>
    <w:p w14:paraId="22DDFF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华文仿宋" w:hAnsi="华文仿宋" w:eastAsia="华文仿宋" w:cs="华文仿宋"/>
          <w:b/>
          <w:sz w:val="40"/>
          <w:szCs w:val="40"/>
          <w:lang w:val="en-US" w:eastAsia="zh-CN"/>
        </w:rPr>
      </w:pPr>
    </w:p>
    <w:p w14:paraId="608511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华文仿宋" w:hAnsi="华文仿宋" w:eastAsia="华文仿宋" w:cs="华文仿宋"/>
          <w:b/>
          <w:sz w:val="40"/>
          <w:szCs w:val="40"/>
          <w:lang w:val="en-US" w:eastAsia="zh-CN"/>
        </w:rPr>
      </w:pPr>
      <w:r>
        <w:rPr>
          <w:rFonts w:hint="eastAsia" w:ascii="华文仿宋" w:hAnsi="华文仿宋" w:eastAsia="华文仿宋" w:cs="华文仿宋"/>
          <w:b/>
          <w:sz w:val="40"/>
          <w:szCs w:val="40"/>
          <w:lang w:val="en-US" w:eastAsia="zh-CN"/>
        </w:rPr>
        <w:t>济南公共资源交易中心</w:t>
      </w:r>
    </w:p>
    <w:p w14:paraId="62D8862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华文仿宋" w:hAnsi="华文仿宋" w:eastAsia="华文仿宋" w:cs="华文仿宋"/>
          <w:b/>
          <w:sz w:val="40"/>
          <w:szCs w:val="40"/>
        </w:rPr>
      </w:pPr>
      <w:r>
        <w:rPr>
          <w:rFonts w:hint="eastAsia" w:ascii="华文仿宋" w:hAnsi="华文仿宋" w:eastAsia="华文仿宋" w:cs="华文仿宋"/>
          <w:b/>
          <w:sz w:val="40"/>
          <w:szCs w:val="40"/>
        </w:rPr>
        <w:t>202</w:t>
      </w:r>
      <w:r>
        <w:rPr>
          <w:rFonts w:hint="eastAsia" w:ascii="华文仿宋" w:hAnsi="华文仿宋" w:eastAsia="华文仿宋" w:cs="华文仿宋"/>
          <w:b/>
          <w:sz w:val="40"/>
          <w:szCs w:val="40"/>
          <w:lang w:val="en-US" w:eastAsia="zh-CN"/>
        </w:rPr>
        <w:t>5</w:t>
      </w:r>
      <w:r>
        <w:rPr>
          <w:rFonts w:hint="eastAsia" w:ascii="华文仿宋" w:hAnsi="华文仿宋" w:eastAsia="华文仿宋" w:cs="华文仿宋"/>
          <w:b/>
          <w:sz w:val="40"/>
          <w:szCs w:val="40"/>
        </w:rPr>
        <w:t>年</w:t>
      </w:r>
      <w:r>
        <w:rPr>
          <w:rFonts w:hint="eastAsia" w:ascii="华文仿宋" w:hAnsi="华文仿宋" w:eastAsia="华文仿宋" w:cs="华文仿宋"/>
          <w:b/>
          <w:sz w:val="40"/>
          <w:szCs w:val="40"/>
          <w:lang w:val="en-US" w:eastAsia="zh-CN"/>
        </w:rPr>
        <w:t>11</w:t>
      </w:r>
      <w:r>
        <w:rPr>
          <w:rFonts w:hint="eastAsia" w:ascii="华文仿宋" w:hAnsi="华文仿宋" w:eastAsia="华文仿宋" w:cs="华文仿宋"/>
          <w:b/>
          <w:sz w:val="40"/>
          <w:szCs w:val="40"/>
        </w:rPr>
        <w:t>月</w:t>
      </w:r>
    </w:p>
    <w:p w14:paraId="5C68E74F">
      <w:pPr>
        <w:rPr>
          <w:rFonts w:hint="eastAsia" w:ascii="华文仿宋" w:hAnsi="华文仿宋" w:eastAsia="华文仿宋" w:cs="华文仿宋"/>
        </w:rPr>
      </w:pPr>
    </w:p>
    <w:p w14:paraId="3DBF0D06">
      <w:pPr>
        <w:rPr>
          <w:rFonts w:hint="eastAsia" w:ascii="华文仿宋" w:hAnsi="华文仿宋" w:eastAsia="华文仿宋" w:cs="华文仿宋"/>
          <w:b/>
          <w:sz w:val="52"/>
          <w:szCs w:val="52"/>
        </w:rPr>
      </w:pPr>
      <w:r>
        <w:rPr>
          <w:rFonts w:hint="eastAsia" w:ascii="华文仿宋" w:hAnsi="华文仿宋" w:eastAsia="华文仿宋" w:cs="华文仿宋"/>
          <w:b/>
          <w:sz w:val="52"/>
          <w:szCs w:val="52"/>
        </w:rPr>
        <w:br w:type="page"/>
      </w:r>
    </w:p>
    <w:sdt>
      <w:sdtPr>
        <w:rPr>
          <w:rFonts w:hint="eastAsia" w:ascii="华文仿宋" w:hAnsi="华文仿宋" w:eastAsia="华文仿宋" w:cs="华文仿宋"/>
          <w:kern w:val="2"/>
          <w:sz w:val="44"/>
          <w:szCs w:val="52"/>
          <w:lang w:val="en-US" w:eastAsia="zh-CN" w:bidi="ar-SA"/>
          <w14:ligatures w14:val="standardContextual"/>
        </w:rPr>
        <w:id w:val="147466527"/>
        <w15:color w:val="DBDBDB"/>
        <w:docPartObj>
          <w:docPartGallery w:val="Table of Contents"/>
          <w:docPartUnique/>
        </w:docPartObj>
      </w:sdtPr>
      <w:sdtEndPr>
        <w:rPr>
          <w:rFonts w:hint="eastAsia" w:ascii="华文仿宋" w:hAnsi="华文仿宋" w:eastAsia="华文仿宋" w:cs="华文仿宋"/>
          <w:kern w:val="2"/>
          <w:sz w:val="44"/>
          <w:szCs w:val="52"/>
          <w:lang w:val="en-US" w:eastAsia="zh-CN" w:bidi="ar-SA"/>
          <w14:ligatures w14:val="standardContextual"/>
        </w:rPr>
      </w:sdtEndPr>
      <w:sdtContent>
        <w:p w14:paraId="64470057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="华文仿宋" w:hAnsi="华文仿宋" w:eastAsia="华文仿宋" w:cs="华文仿宋"/>
              <w:sz w:val="44"/>
              <w:szCs w:val="52"/>
            </w:rPr>
          </w:pPr>
          <w:r>
            <w:rPr>
              <w:rFonts w:hint="eastAsia" w:ascii="华文仿宋" w:hAnsi="华文仿宋" w:eastAsia="华文仿宋" w:cs="华文仿宋"/>
              <w:sz w:val="44"/>
              <w:szCs w:val="52"/>
            </w:rPr>
            <w:t>目录</w:t>
          </w:r>
        </w:p>
        <w:p w14:paraId="2AE952D9">
          <w:pPr>
            <w:pStyle w:val="12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TOC \o "1-3" \h \u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_Toc8684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bCs/>
              <w:kern w:val="2"/>
              <w:szCs w:val="32"/>
              <w:lang w:val="en-US" w:eastAsia="zh-CN" w:bidi="ar-SA"/>
              <w14:ligatures w14:val="none"/>
            </w:rPr>
            <w:t>一、 代理合同、招标计划仍在现有系统进行</w:t>
          </w:r>
          <w:r>
            <w:tab/>
          </w:r>
          <w:r>
            <w:fldChar w:fldCharType="begin"/>
          </w:r>
          <w:r>
            <w:instrText xml:space="preserve"> PAGEREF _Toc8684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7E25F684">
          <w:pPr>
            <w:pStyle w:val="12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_Toc31372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bCs/>
              <w:kern w:val="2"/>
              <w:szCs w:val="32"/>
              <w:lang w:val="en-US" w:eastAsia="zh-CN" w:bidi="ar-SA"/>
              <w14:ligatures w14:val="none"/>
            </w:rPr>
            <w:t>二、 信创系统入口</w:t>
          </w:r>
          <w:r>
            <w:tab/>
          </w:r>
          <w:r>
            <w:fldChar w:fldCharType="begin"/>
          </w:r>
          <w:r>
            <w:instrText xml:space="preserve"> PAGEREF _Toc31372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4739019B">
          <w:pPr>
            <w:pStyle w:val="12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_Toc16645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三、 招标项目信息录入</w:t>
          </w:r>
          <w:r>
            <w:tab/>
          </w:r>
          <w:r>
            <w:fldChar w:fldCharType="begin"/>
          </w:r>
          <w:r>
            <w:instrText xml:space="preserve"> PAGEREF _Toc16645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4A9A5196">
          <w:pPr>
            <w:pStyle w:val="12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_Toc23683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bCs/>
              <w:kern w:val="2"/>
              <w:szCs w:val="32"/>
              <w:lang w:val="en-US" w:eastAsia="zh-CN" w:bidi="ar-SA"/>
              <w14:ligatures w14:val="none"/>
            </w:rPr>
            <w:t>四、 信创浏览器配置</w:t>
          </w:r>
          <w:r>
            <w:tab/>
          </w:r>
          <w:r>
            <w:fldChar w:fldCharType="begin"/>
          </w:r>
          <w:r>
            <w:instrText xml:space="preserve"> PAGEREF _Toc23683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095E6A3D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_Toc23929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宋体" w:hAnsi="宋体" w:eastAsia="宋体" w:cs="宋体"/>
            </w:rPr>
            <w:t xml:space="preserve">1.1 </w:t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浏览器要求</w:t>
          </w:r>
          <w:r>
            <w:tab/>
          </w:r>
          <w:r>
            <w:fldChar w:fldCharType="begin"/>
          </w:r>
          <w:r>
            <w:instrText xml:space="preserve"> PAGEREF _Toc23929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28AC9B70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_Toc16309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宋体" w:hAnsi="宋体" w:eastAsia="宋体" w:cs="宋体"/>
              <w:lang w:val="en-US" w:eastAsia="zh-CN"/>
            </w:rPr>
            <w:t xml:space="preserve">1.2 </w:t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需安装工具</w:t>
          </w:r>
          <w:r>
            <w:tab/>
          </w:r>
          <w:r>
            <w:fldChar w:fldCharType="begin"/>
          </w:r>
          <w:r>
            <w:instrText xml:space="preserve"> PAGEREF _Toc16309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4E6AB6A2">
          <w:pPr>
            <w:pStyle w:val="12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_Toc2906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bCs/>
              <w:kern w:val="2"/>
              <w:szCs w:val="32"/>
              <w:lang w:val="en-US" w:eastAsia="zh-CN" w:bidi="ar-SA"/>
              <w14:ligatures w14:val="none"/>
            </w:rPr>
            <w:t>五、 企业登录信创交易平台</w:t>
          </w:r>
          <w:r>
            <w:tab/>
          </w:r>
          <w:r>
            <w:fldChar w:fldCharType="begin"/>
          </w:r>
          <w:r>
            <w:instrText xml:space="preserve"> PAGEREF _Toc2906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3A5B5805">
          <w:pPr>
            <w:pStyle w:val="12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_Toc11342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bCs/>
              <w:kern w:val="2"/>
              <w:szCs w:val="32"/>
              <w:lang w:val="en-US" w:eastAsia="zh-CN" w:bidi="ar-SA"/>
              <w14:ligatures w14:val="none"/>
            </w:rPr>
            <w:t>六、 新项目登记</w:t>
          </w:r>
          <w:r>
            <w:tab/>
          </w:r>
          <w:r>
            <w:fldChar w:fldCharType="begin"/>
          </w:r>
          <w:r>
            <w:instrText xml:space="preserve"> PAGEREF _Toc11342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2C05E3C6">
          <w:pPr>
            <w:pStyle w:val="12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_Toc27899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bCs/>
              <w:kern w:val="2"/>
              <w:szCs w:val="32"/>
              <w:lang w:val="en-US" w:eastAsia="zh-CN" w:bidi="ar-SA"/>
              <w14:ligatures w14:val="none"/>
            </w:rPr>
            <w:t>七、 场地预约</w:t>
          </w:r>
          <w:r>
            <w:tab/>
          </w:r>
          <w:r>
            <w:fldChar w:fldCharType="begin"/>
          </w:r>
          <w:r>
            <w:instrText xml:space="preserve"> PAGEREF _Toc27899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35D1E88C">
          <w:pPr>
            <w:pStyle w:val="12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_Toc29382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bCs/>
              <w:kern w:val="2"/>
              <w:szCs w:val="32"/>
              <w:lang w:val="en-US" w:eastAsia="zh-CN" w:bidi="ar-SA"/>
              <w14:ligatures w14:val="none"/>
            </w:rPr>
            <w:t>八、 招标公告</w:t>
          </w:r>
          <w:r>
            <w:tab/>
          </w:r>
          <w:r>
            <w:fldChar w:fldCharType="begin"/>
          </w:r>
          <w:r>
            <w:instrText xml:space="preserve"> PAGEREF _Toc29382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61827156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_Toc12958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（一）</w:t>
          </w:r>
          <w:r>
            <w:rPr>
              <w:rFonts w:hint="eastAsia" w:ascii="华文仿宋" w:hAnsi="华文仿宋" w:eastAsia="华文仿宋" w:cs="华文仿宋"/>
            </w:rPr>
            <w:t>功能介绍</w:t>
          </w:r>
          <w:r>
            <w:tab/>
          </w:r>
          <w:r>
            <w:fldChar w:fldCharType="begin"/>
          </w:r>
          <w:r>
            <w:instrText xml:space="preserve"> PAGEREF _Toc12958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4137F37A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_Toc17757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（二）具体操作</w:t>
          </w:r>
          <w:r>
            <w:tab/>
          </w:r>
          <w:r>
            <w:fldChar w:fldCharType="begin"/>
          </w:r>
          <w:r>
            <w:instrText xml:space="preserve"> PAGEREF _Toc17757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77FEAF12">
          <w:pPr>
            <w:pStyle w:val="12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_Toc1149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</w:rPr>
            <w:t xml:space="preserve">九、 </w:t>
          </w:r>
          <w:r>
            <w:rPr>
              <w:rFonts w:hint="eastAsia" w:ascii="华文仿宋" w:hAnsi="华文仿宋" w:eastAsia="华文仿宋" w:cs="华文仿宋"/>
              <w:bCs/>
              <w:kern w:val="2"/>
              <w:szCs w:val="32"/>
              <w:lang w:val="en-US" w:eastAsia="zh-CN" w:bidi="ar-SA"/>
              <w14:ligatures w14:val="none"/>
            </w:rPr>
            <w:t>编制招标文件</w:t>
          </w:r>
          <w:r>
            <w:tab/>
          </w:r>
          <w:r>
            <w:fldChar w:fldCharType="begin"/>
          </w:r>
          <w:r>
            <w:instrText xml:space="preserve"> PAGEREF _Toc1149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5C0C20B7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_Toc22130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（一）基本信息：</w:t>
          </w:r>
          <w:r>
            <w:rPr>
              <w:rFonts w:hint="eastAsia" w:ascii="华文仿宋" w:hAnsi="华文仿宋" w:eastAsia="华文仿宋" w:cs="华文仿宋"/>
              <w:szCs w:val="32"/>
              <w:lang w:val="en-US" w:eastAsia="zh-CN"/>
            </w:rPr>
            <w:t>展示项目标段基本信息。</w:t>
          </w:r>
          <w:r>
            <w:tab/>
          </w:r>
          <w:r>
            <w:fldChar w:fldCharType="begin"/>
          </w:r>
          <w:r>
            <w:instrText xml:space="preserve"> PAGEREF _Toc22130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7627C261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_Toc4677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（二）开标一览表</w:t>
          </w:r>
          <w:r>
            <w:tab/>
          </w:r>
          <w:r>
            <w:fldChar w:fldCharType="begin"/>
          </w:r>
          <w:r>
            <w:instrText xml:space="preserve"> PAGEREF _Toc4677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1C52E784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_Toc27298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（三） 工程量清单</w:t>
          </w:r>
          <w:r>
            <w:tab/>
          </w:r>
          <w:r>
            <w:fldChar w:fldCharType="begin"/>
          </w:r>
          <w:r>
            <w:instrText xml:space="preserve"> PAGEREF _Toc27298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6FEC768F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_Toc6972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（四）评标办法</w:t>
          </w:r>
          <w:r>
            <w:tab/>
          </w:r>
          <w:r>
            <w:fldChar w:fldCharType="begin"/>
          </w:r>
          <w:r>
            <w:instrText xml:space="preserve"> PAGEREF _Toc6972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21C478CE">
          <w:pPr>
            <w:pStyle w:val="9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_Toc1232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第一步：选择评标办法参数设置模版</w:t>
          </w:r>
          <w:r>
            <w:tab/>
          </w:r>
          <w:r>
            <w:fldChar w:fldCharType="begin"/>
          </w:r>
          <w:r>
            <w:instrText xml:space="preserve"> PAGEREF _Toc1232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3E595F7E">
          <w:pPr>
            <w:pStyle w:val="9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_Toc7324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第二步：设置投标文件组成</w:t>
          </w:r>
          <w:r>
            <w:tab/>
          </w:r>
          <w:r>
            <w:fldChar w:fldCharType="begin"/>
          </w:r>
          <w:r>
            <w:instrText xml:space="preserve"> PAGEREF _Toc7324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3EFBC1C8">
          <w:pPr>
            <w:pStyle w:val="9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_Toc17290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第三步：评标办法参数设置</w:t>
          </w:r>
          <w:r>
            <w:tab/>
          </w:r>
          <w:r>
            <w:fldChar w:fldCharType="begin"/>
          </w:r>
          <w:r>
            <w:instrText xml:space="preserve"> PAGEREF _Toc17290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51071575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_Toc32765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（五）编制招标书</w:t>
          </w:r>
          <w:r>
            <w:tab/>
          </w:r>
          <w:r>
            <w:fldChar w:fldCharType="begin"/>
          </w:r>
          <w:r>
            <w:instrText xml:space="preserve"> PAGEREF _Toc32765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018B4281">
          <w:pPr>
            <w:pStyle w:val="9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_Toc606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5.1第一部分 招标公告</w:t>
          </w:r>
          <w:r>
            <w:tab/>
          </w:r>
          <w:r>
            <w:fldChar w:fldCharType="begin"/>
          </w:r>
          <w:r>
            <w:instrText xml:space="preserve"> PAGEREF _Toc606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148AB504">
          <w:pPr>
            <w:pStyle w:val="9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_Toc12728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5.2第二部分 投标人须知</w:t>
          </w:r>
          <w:r>
            <w:tab/>
          </w:r>
          <w:r>
            <w:fldChar w:fldCharType="begin"/>
          </w:r>
          <w:r>
            <w:instrText xml:space="preserve"> PAGEREF _Toc12728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7717516B">
          <w:pPr>
            <w:pStyle w:val="9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_Toc10020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5.3第三部分 评标办法</w:t>
          </w:r>
          <w:r>
            <w:tab/>
          </w:r>
          <w:r>
            <w:fldChar w:fldCharType="begin"/>
          </w:r>
          <w:r>
            <w:instrText xml:space="preserve"> PAGEREF _Toc10020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12B55F05">
          <w:pPr>
            <w:pStyle w:val="9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_Toc1956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5.4第四部分 合同条款及格式</w:t>
          </w:r>
          <w:r>
            <w:tab/>
          </w:r>
          <w:r>
            <w:fldChar w:fldCharType="begin"/>
          </w:r>
          <w:r>
            <w:instrText xml:space="preserve"> PAGEREF _Toc1956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7D69D5EA">
          <w:pPr>
            <w:pStyle w:val="9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_Toc582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5.5第五部分 工程量清单</w:t>
          </w:r>
          <w:r>
            <w:tab/>
          </w:r>
          <w:r>
            <w:fldChar w:fldCharType="begin"/>
          </w:r>
          <w:r>
            <w:instrText xml:space="preserve"> PAGEREF _Toc582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70EE3C52">
          <w:pPr>
            <w:pStyle w:val="9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_Toc25260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5.6第六部分 图纸</w:t>
          </w:r>
          <w:r>
            <w:tab/>
          </w:r>
          <w:r>
            <w:fldChar w:fldCharType="begin"/>
          </w:r>
          <w:r>
            <w:instrText xml:space="preserve"> PAGEREF _Toc25260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215B5F53">
          <w:pPr>
            <w:pStyle w:val="9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_Toc8838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5.7第七部分 技术标准和要求</w:t>
          </w:r>
          <w:r>
            <w:tab/>
          </w:r>
          <w:r>
            <w:fldChar w:fldCharType="begin"/>
          </w:r>
          <w:r>
            <w:instrText xml:space="preserve"> PAGEREF _Toc8838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5F514A32">
          <w:pPr>
            <w:pStyle w:val="9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_Toc2563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5.8第*章：自行增加新章节</w:t>
          </w:r>
          <w:r>
            <w:tab/>
          </w:r>
          <w:r>
            <w:fldChar w:fldCharType="begin"/>
          </w:r>
          <w:r>
            <w:instrText xml:space="preserve"> PAGEREF _Toc2563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31E5E115">
          <w:pPr>
            <w:pStyle w:val="9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_Toc16352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5.9第*章：投标文件格式</w:t>
          </w:r>
          <w:r>
            <w:tab/>
          </w:r>
          <w:r>
            <w:fldChar w:fldCharType="begin"/>
          </w:r>
          <w:r>
            <w:instrText xml:space="preserve"> PAGEREF _Toc16352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77370944">
          <w:pPr>
            <w:pStyle w:val="9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_Toc29952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5.10其他文件</w:t>
          </w:r>
          <w:r>
            <w:tab/>
          </w:r>
          <w:r>
            <w:fldChar w:fldCharType="begin"/>
          </w:r>
          <w:r>
            <w:instrText xml:space="preserve"> PAGEREF _Toc29952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4BD1CFE4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_Toc15981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（六）文件汇总</w:t>
          </w:r>
          <w:r>
            <w:tab/>
          </w:r>
          <w:r>
            <w:fldChar w:fldCharType="begin"/>
          </w:r>
          <w:r>
            <w:instrText xml:space="preserve"> PAGEREF _Toc15981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6246F634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_Toc8432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（七）发布公告</w:t>
          </w:r>
          <w:r>
            <w:tab/>
          </w:r>
          <w:r>
            <w:fldChar w:fldCharType="begin"/>
          </w:r>
          <w:r>
            <w:instrText xml:space="preserve"> PAGEREF _Toc8432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78849319">
          <w:pPr>
            <w:pStyle w:val="12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_Toc4471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bCs/>
              <w:kern w:val="2"/>
              <w:szCs w:val="32"/>
              <w:lang w:val="en-US" w:eastAsia="zh-CN" w:bidi="ar-SA"/>
              <w14:ligatures w14:val="none"/>
            </w:rPr>
            <w:t>十、变更公告</w:t>
          </w:r>
          <w:r>
            <w:tab/>
          </w:r>
          <w:r>
            <w:fldChar w:fldCharType="begin"/>
          </w:r>
          <w:r>
            <w:instrText xml:space="preserve"> PAGEREF _Toc4471 \h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5FC7AC3D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_Toc14942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（一）功能介绍</w:t>
          </w:r>
          <w:r>
            <w:tab/>
          </w:r>
          <w:r>
            <w:fldChar w:fldCharType="begin"/>
          </w:r>
          <w:r>
            <w:instrText xml:space="preserve"> PAGEREF _Toc14942 \h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1E717E0E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_Toc18467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（二）具体操作</w:t>
          </w:r>
          <w:r>
            <w:tab/>
          </w:r>
          <w:r>
            <w:fldChar w:fldCharType="begin"/>
          </w:r>
          <w:r>
            <w:instrText xml:space="preserve"> PAGEREF _Toc18467 \h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5A3FAD9E">
          <w:pPr>
            <w:pStyle w:val="12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_Toc23962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bCs/>
              <w:kern w:val="2"/>
              <w:szCs w:val="32"/>
              <w:lang w:val="en-US" w:eastAsia="zh-CN" w:bidi="ar-SA"/>
              <w14:ligatures w14:val="none"/>
            </w:rPr>
            <w:t>十一、澄清公告</w:t>
          </w:r>
          <w:r>
            <w:tab/>
          </w:r>
          <w:r>
            <w:fldChar w:fldCharType="begin"/>
          </w:r>
          <w:r>
            <w:instrText xml:space="preserve"> PAGEREF _Toc23962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6C0DC9EA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_Toc6224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（一）功能介绍</w:t>
          </w:r>
          <w:r>
            <w:tab/>
          </w:r>
          <w:r>
            <w:fldChar w:fldCharType="begin"/>
          </w:r>
          <w:r>
            <w:instrText xml:space="preserve"> PAGEREF _Toc6224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2E507976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_Toc4237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（二）具体操作</w:t>
          </w:r>
          <w:r>
            <w:tab/>
          </w:r>
          <w:r>
            <w:fldChar w:fldCharType="begin"/>
          </w:r>
          <w:r>
            <w:instrText xml:space="preserve"> PAGEREF _Toc4237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45A4B0E8">
          <w:pPr>
            <w:pStyle w:val="12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_Toc8614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bCs/>
              <w:kern w:val="2"/>
              <w:szCs w:val="32"/>
              <w:lang w:val="en-US" w:eastAsia="zh-CN" w:bidi="ar-SA"/>
              <w14:ligatures w14:val="none"/>
            </w:rPr>
            <w:t>十二、场地变更</w:t>
          </w:r>
          <w:r>
            <w:tab/>
          </w:r>
          <w:r>
            <w:fldChar w:fldCharType="begin"/>
          </w:r>
          <w:r>
            <w:instrText xml:space="preserve"> PAGEREF _Toc8614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70CDDD4B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_Toc26653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（一）功能介绍</w:t>
          </w:r>
          <w:r>
            <w:tab/>
          </w:r>
          <w:r>
            <w:fldChar w:fldCharType="begin"/>
          </w:r>
          <w:r>
            <w:instrText xml:space="preserve"> PAGEREF _Toc26653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109C8488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_Toc12776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（二）具体操作</w:t>
          </w:r>
          <w:r>
            <w:tab/>
          </w:r>
          <w:r>
            <w:fldChar w:fldCharType="begin"/>
          </w:r>
          <w:r>
            <w:instrText xml:space="preserve"> PAGEREF _Toc12776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6CB0D22D">
          <w:pPr>
            <w:pStyle w:val="12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_Toc7588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bCs/>
              <w:kern w:val="2"/>
              <w:szCs w:val="32"/>
              <w:lang w:val="en-US" w:eastAsia="zh-CN" w:bidi="ar-SA"/>
              <w14:ligatures w14:val="none"/>
            </w:rPr>
            <w:t>十三、终止/废标公告</w:t>
          </w:r>
          <w:r>
            <w:tab/>
          </w:r>
          <w:r>
            <w:fldChar w:fldCharType="begin"/>
          </w:r>
          <w:r>
            <w:instrText xml:space="preserve"> PAGEREF _Toc7588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6EAEB0A5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_Toc23814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（一）功能介绍</w:t>
          </w:r>
          <w:r>
            <w:tab/>
          </w:r>
          <w:r>
            <w:fldChar w:fldCharType="begin"/>
          </w:r>
          <w:r>
            <w:instrText xml:space="preserve"> PAGEREF _Toc23814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53AC7804">
          <w:pPr>
            <w:pStyle w:val="13"/>
            <w:tabs>
              <w:tab w:val="right" w:leader="dot" w:pos="8306"/>
            </w:tabs>
          </w:pPr>
          <w:r>
            <w:rPr>
              <w:rFonts w:hint="eastAsia" w:ascii="华文仿宋" w:hAnsi="华文仿宋" w:eastAsia="华文仿宋" w:cs="华文仿宋"/>
            </w:rPr>
            <w:fldChar w:fldCharType="begin"/>
          </w:r>
          <w:r>
            <w:rPr>
              <w:rFonts w:hint="eastAsia" w:ascii="华文仿宋" w:hAnsi="华文仿宋" w:eastAsia="华文仿宋" w:cs="华文仿宋"/>
            </w:rPr>
            <w:instrText xml:space="preserve"> HYPERLINK \l _Toc15699 </w:instrText>
          </w:r>
          <w:r>
            <w:rPr>
              <w:rFonts w:hint="eastAsia" w:ascii="华文仿宋" w:hAnsi="华文仿宋" w:eastAsia="华文仿宋" w:cs="华文仿宋"/>
            </w:rPr>
            <w:fldChar w:fldCharType="separate"/>
          </w:r>
          <w:r>
            <w:rPr>
              <w:rFonts w:hint="eastAsia" w:ascii="华文仿宋" w:hAnsi="华文仿宋" w:eastAsia="华文仿宋" w:cs="华文仿宋"/>
              <w:lang w:val="en-US" w:eastAsia="zh-CN"/>
            </w:rPr>
            <w:t>（二）具体操作</w:t>
          </w:r>
          <w:r>
            <w:tab/>
          </w:r>
          <w:r>
            <w:fldChar w:fldCharType="begin"/>
          </w:r>
          <w:r>
            <w:instrText xml:space="preserve"> PAGEREF _Toc15699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hint="eastAsia" w:ascii="华文仿宋" w:hAnsi="华文仿宋" w:eastAsia="华文仿宋" w:cs="华文仿宋"/>
            </w:rPr>
            <w:fldChar w:fldCharType="end"/>
          </w:r>
        </w:p>
        <w:p w14:paraId="614FA9BE">
          <w:pPr>
            <w:rPr>
              <w:rFonts w:hint="eastAsia" w:ascii="华文仿宋" w:hAnsi="华文仿宋" w:eastAsia="华文仿宋" w:cs="华文仿宋"/>
            </w:rPr>
          </w:pPr>
          <w:r>
            <w:rPr>
              <w:rFonts w:hint="eastAsia" w:ascii="华文仿宋" w:hAnsi="华文仿宋" w:eastAsia="华文仿宋" w:cs="华文仿宋"/>
            </w:rPr>
            <w:fldChar w:fldCharType="end"/>
          </w:r>
        </w:p>
      </w:sdtContent>
    </w:sdt>
    <w:p w14:paraId="6071911E">
      <w:pPr>
        <w:rPr>
          <w:rFonts w:hint="eastAsia" w:ascii="华文仿宋" w:hAnsi="华文仿宋" w:eastAsia="华文仿宋" w:cs="华文仿宋"/>
        </w:rPr>
      </w:pPr>
    </w:p>
    <w:p w14:paraId="7E87B50C">
      <w:pPr>
        <w:rPr>
          <w:rFonts w:hint="eastAsia" w:ascii="华文仿宋" w:hAnsi="华文仿宋" w:eastAsia="华文仿宋" w:cs="华文仿宋"/>
          <w:b/>
          <w:sz w:val="52"/>
          <w:szCs w:val="52"/>
        </w:rPr>
      </w:pPr>
      <w:r>
        <w:rPr>
          <w:rFonts w:hint="eastAsia" w:ascii="华文仿宋" w:hAnsi="华文仿宋" w:eastAsia="华文仿宋" w:cs="华文仿宋"/>
          <w:b/>
          <w:sz w:val="52"/>
          <w:szCs w:val="52"/>
        </w:rPr>
        <w:br w:type="page"/>
      </w:r>
    </w:p>
    <w:p w14:paraId="3E3C4C37">
      <w:pPr>
        <w:pStyle w:val="2"/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</w:pPr>
      <w:bookmarkStart w:id="0" w:name="_Toc8684"/>
      <w:r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  <w:t>代理合同、招标计划仍在现有系统进行</w:t>
      </w:r>
      <w:bookmarkEnd w:id="0"/>
    </w:p>
    <w:p w14:paraId="5FAA4E86">
      <w:pPr>
        <w:numPr>
          <w:ilvl w:val="0"/>
          <w:numId w:val="0"/>
        </w:numPr>
      </w:pPr>
      <w:r>
        <w:drawing>
          <wp:inline distT="0" distB="0" distL="114300" distR="114300">
            <wp:extent cx="5264785" cy="1055370"/>
            <wp:effectExtent l="0" t="0" r="12065" b="1143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05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8FF33">
      <w:pPr>
        <w:pStyle w:val="2"/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</w:pPr>
      <w:bookmarkStart w:id="1" w:name="_Toc31372"/>
      <w:r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  <w:t>信创系统入口</w:t>
      </w:r>
      <w:bookmarkEnd w:id="1"/>
    </w:p>
    <w:p w14:paraId="1C8E9C98">
      <w:pPr>
        <w:numPr>
          <w:ilvl w:val="0"/>
          <w:numId w:val="0"/>
        </w:numPr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房屋建筑及燃气、热力工程监理服务类招标项目将开展智能辅助评标试点应用。</w:t>
      </w:r>
      <w:r>
        <w:rPr>
          <w:rFonts w:ascii="宋体" w:hAnsi="宋体" w:eastAsia="宋体" w:cs="宋体"/>
          <w:b/>
          <w:bCs/>
          <w:sz w:val="24"/>
          <w:szCs w:val="24"/>
        </w:rPr>
        <w:t>高新分中心</w:t>
      </w:r>
      <w:r>
        <w:rPr>
          <w:rFonts w:ascii="宋体" w:hAnsi="宋体" w:eastAsia="宋体" w:cs="宋体"/>
          <w:sz w:val="24"/>
          <w:szCs w:val="24"/>
        </w:rPr>
        <w:t>作为试点单位，与</w:t>
      </w:r>
      <w:r>
        <w:rPr>
          <w:rFonts w:ascii="宋体" w:hAnsi="宋体" w:eastAsia="宋体" w:cs="宋体"/>
          <w:b/>
          <w:bCs/>
          <w:sz w:val="24"/>
          <w:szCs w:val="24"/>
        </w:rPr>
        <w:t>市本级</w:t>
      </w:r>
      <w:r>
        <w:rPr>
          <w:rFonts w:ascii="宋体" w:hAnsi="宋体" w:eastAsia="宋体" w:cs="宋体"/>
          <w:sz w:val="24"/>
          <w:szCs w:val="24"/>
        </w:rPr>
        <w:t>同步推进该试点。试点期间，交易中心每日将从两地项目中选取 1 个（该项目不采用远程异地评标方式）试行智能辅助评标功能。请点击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顶部导航</w:t>
      </w:r>
      <w:r>
        <w:rPr>
          <w:rFonts w:ascii="宋体" w:hAnsi="宋体" w:eastAsia="宋体" w:cs="宋体"/>
          <w:sz w:val="24"/>
          <w:szCs w:val="24"/>
        </w:rPr>
        <w:t> </w:t>
      </w:r>
      <w:r>
        <w:rPr>
          <w:rFonts w:ascii="宋体" w:hAnsi="宋体" w:eastAsia="宋体" w:cs="宋体"/>
          <w:b/>
          <w:bCs/>
          <w:sz w:val="24"/>
          <w:szCs w:val="24"/>
        </w:rPr>
        <w:t>“信创系统”</w:t>
      </w:r>
      <w:r>
        <w:rPr>
          <w:rFonts w:ascii="宋体" w:hAnsi="宋体" w:eastAsia="宋体" w:cs="宋体"/>
          <w:sz w:val="24"/>
          <w:szCs w:val="24"/>
        </w:rPr>
        <w:t> 进入相关操作页面。</w:t>
      </w:r>
    </w:p>
    <w:p w14:paraId="13E6AFCD">
      <w:pPr>
        <w:numPr>
          <w:ilvl w:val="0"/>
          <w:numId w:val="0"/>
        </w:numPr>
        <w:rPr>
          <w:rFonts w:ascii="宋体" w:hAnsi="宋体" w:eastAsia="宋体" w:cs="宋体"/>
          <w:sz w:val="24"/>
          <w:szCs w:val="24"/>
        </w:rPr>
      </w:pPr>
      <w:r>
        <w:drawing>
          <wp:inline distT="0" distB="0" distL="114300" distR="114300">
            <wp:extent cx="5270500" cy="1077595"/>
            <wp:effectExtent l="0" t="0" r="6350" b="8255"/>
            <wp:docPr id="1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7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44EEF">
      <w:pPr>
        <w:pStyle w:val="2"/>
        <w:bidi w:val="0"/>
        <w:rPr>
          <w:rFonts w:hint="eastAsia" w:ascii="华文仿宋" w:hAnsi="华文仿宋" w:eastAsia="华文仿宋" w:cs="华文仿宋"/>
          <w:lang w:val="en-US" w:eastAsia="zh-CN"/>
        </w:rPr>
      </w:pPr>
      <w:bookmarkStart w:id="2" w:name="_Toc16645"/>
      <w:r>
        <w:rPr>
          <w:rFonts w:hint="eastAsia" w:ascii="华文仿宋" w:hAnsi="华文仿宋" w:eastAsia="华文仿宋" w:cs="华文仿宋"/>
          <w:lang w:val="en-US" w:eastAsia="zh-CN"/>
        </w:rPr>
        <w:t>招标项目信息录入</w:t>
      </w:r>
      <w:bookmarkEnd w:id="2"/>
    </w:p>
    <w:p w14:paraId="7A631242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点击“新招标项目信息录入”，监管部门选择“住建局”。在其他信息模块行政区划选择【济南市】、【高新区】，项目专业为【监理】项目时，不允许继续录入项目信息。请点击链接跳转到信创系统。</w:t>
      </w:r>
    </w:p>
    <w:p w14:paraId="0DAFD31D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 xml:space="preserve">点击 “新招标项目信息录入” 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eastAsia="zh-CN"/>
        </w:rPr>
        <w:t>按钮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后，监管部门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eastAsia="zh-CN"/>
        </w:rPr>
        <w:t>弹窗中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 xml:space="preserve">选择 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eastAsia="zh-CN"/>
        </w:rPr>
        <w:t>【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住建局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eastAsia="zh-CN"/>
        </w:rPr>
        <w:t>】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。若在其他信息模块中行政区划选择【济南市】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eastAsia="zh-CN"/>
        </w:rPr>
        <w:t>或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【高新区】，且项目专业为【监理】，则不允许继续录入项目信息。请通过链接跳转到信创系统操作。</w:t>
      </w:r>
    </w:p>
    <w:p w14:paraId="4D738A00">
      <w:r>
        <w:drawing>
          <wp:inline distT="0" distB="0" distL="114300" distR="114300">
            <wp:extent cx="5261610" cy="1456690"/>
            <wp:effectExtent l="0" t="0" r="15240" b="10160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45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23A7A"/>
    <w:p w14:paraId="6A2865A3">
      <w:r>
        <w:drawing>
          <wp:inline distT="0" distB="0" distL="114300" distR="114300">
            <wp:extent cx="4048125" cy="2019300"/>
            <wp:effectExtent l="0" t="0" r="9525" b="0"/>
            <wp:docPr id="1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88D65">
      <w:pPr>
        <w:numPr>
          <w:ilvl w:val="0"/>
          <w:numId w:val="0"/>
        </w:numPr>
      </w:pPr>
    </w:p>
    <w:p w14:paraId="5B7FE106">
      <w:pPr>
        <w:numPr>
          <w:ilvl w:val="0"/>
          <w:numId w:val="0"/>
        </w:numPr>
        <w:rPr>
          <w:rFonts w:hint="eastAsia" w:ascii="华文仿宋" w:hAnsi="华文仿宋" w:eastAsia="华文仿宋" w:cs="华文仿宋"/>
          <w:b/>
          <w:sz w:val="52"/>
          <w:szCs w:val="52"/>
        </w:rPr>
      </w:pPr>
      <w:r>
        <w:drawing>
          <wp:inline distT="0" distB="0" distL="114300" distR="114300">
            <wp:extent cx="5263515" cy="2023110"/>
            <wp:effectExtent l="0" t="0" r="13335" b="15240"/>
            <wp:docPr id="1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02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华文仿宋" w:hAnsi="华文仿宋" w:eastAsia="华文仿宋" w:cs="华文仿宋"/>
          <w:b/>
          <w:sz w:val="52"/>
          <w:szCs w:val="52"/>
        </w:rPr>
        <w:br w:type="page"/>
      </w:r>
    </w:p>
    <w:p w14:paraId="6902AE70">
      <w:pPr>
        <w:pStyle w:val="2"/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</w:pPr>
      <w:bookmarkStart w:id="3" w:name="_Toc23683"/>
      <w:bookmarkStart w:id="4" w:name="_Toc48748839"/>
      <w:r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  <w:t>信创浏览器配置</w:t>
      </w:r>
      <w:bookmarkEnd w:id="3"/>
      <w:bookmarkEnd w:id="4"/>
    </w:p>
    <w:p w14:paraId="3664F99F">
      <w:pPr>
        <w:pStyle w:val="3"/>
        <w:widowControl w:val="0"/>
        <w:numPr>
          <w:ilvl w:val="1"/>
          <w:numId w:val="2"/>
        </w:numPr>
        <w:spacing w:before="156" w:beforeLines="50" w:after="156" w:afterLines="50"/>
        <w:jc w:val="both"/>
        <w:rPr>
          <w:rFonts w:hint="eastAsia" w:ascii="华文仿宋" w:hAnsi="华文仿宋" w:eastAsia="华文仿宋" w:cs="华文仿宋"/>
          <w:sz w:val="32"/>
        </w:rPr>
      </w:pPr>
      <w:bookmarkStart w:id="5" w:name="_Toc23929"/>
      <w:r>
        <w:rPr>
          <w:rFonts w:hint="eastAsia" w:ascii="华文仿宋" w:hAnsi="华文仿宋" w:eastAsia="华文仿宋" w:cs="华文仿宋"/>
          <w:sz w:val="32"/>
          <w:lang w:val="en-US" w:eastAsia="zh-CN"/>
        </w:rPr>
        <w:t>浏览器要求</w:t>
      </w:r>
      <w:bookmarkEnd w:id="5"/>
    </w:p>
    <w:p w14:paraId="39E24992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为了让系统插件能够正常工作，请使用：Edge浏览器、谷歌浏览器、360浏览器极速模式、搜狗浏览器极速模式。</w:t>
      </w:r>
    </w:p>
    <w:p w14:paraId="29506A7E">
      <w:pPr>
        <w:pStyle w:val="3"/>
        <w:widowControl w:val="0"/>
        <w:numPr>
          <w:ilvl w:val="1"/>
          <w:numId w:val="2"/>
        </w:numPr>
        <w:spacing w:before="156" w:beforeLines="50" w:after="156" w:afterLines="50"/>
        <w:jc w:val="both"/>
        <w:rPr>
          <w:rFonts w:hint="eastAsia" w:ascii="华文仿宋" w:hAnsi="华文仿宋" w:eastAsia="华文仿宋" w:cs="华文仿宋"/>
          <w:sz w:val="32"/>
          <w:lang w:val="en-US" w:eastAsia="zh-CN"/>
        </w:rPr>
      </w:pPr>
      <w:bookmarkStart w:id="6" w:name="_Toc16309"/>
      <w:r>
        <w:rPr>
          <w:rFonts w:hint="eastAsia" w:ascii="华文仿宋" w:hAnsi="华文仿宋" w:eastAsia="华文仿宋" w:cs="华文仿宋"/>
          <w:sz w:val="32"/>
          <w:lang w:val="en-US" w:eastAsia="zh-CN"/>
        </w:rPr>
        <w:t>需安装工具</w:t>
      </w:r>
      <w:bookmarkEnd w:id="6"/>
      <w:r>
        <w:rPr>
          <w:rFonts w:hint="eastAsia" w:ascii="华文仿宋" w:hAnsi="华文仿宋" w:eastAsia="华文仿宋" w:cs="华文仿宋"/>
          <w:sz w:val="32"/>
          <w:lang w:val="en-US" w:eastAsia="zh-CN"/>
        </w:rPr>
        <w:t xml:space="preserve"> </w:t>
      </w:r>
    </w:p>
    <w:p w14:paraId="50755510">
      <w:pPr>
        <w:keepNext w:val="0"/>
        <w:keepLines w:val="0"/>
        <w:widowControl/>
        <w:suppressLineNumbers w:val="0"/>
        <w:jc w:val="left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color w:val="000000"/>
          <w:kern w:val="0"/>
          <w:sz w:val="24"/>
          <w:szCs w:val="24"/>
          <w:lang w:val="en-US" w:eastAsia="zh-CN" w:bidi="ar"/>
          <w14:ligatures w14:val="standardContextual"/>
        </w:rPr>
        <w:t xml:space="preserve"> </w:t>
      </w: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济南信创招投标助手.exe</w:t>
      </w:r>
    </w:p>
    <w:p w14:paraId="60678379">
      <w:pPr>
        <w:keepNext w:val="0"/>
        <w:keepLines w:val="0"/>
        <w:widowControl/>
        <w:suppressLineNumbers w:val="0"/>
        <w:ind w:firstLine="840" w:firstLineChars="300"/>
        <w:jc w:val="left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default" w:ascii="华文仿宋" w:hAnsi="华文仿宋" w:eastAsia="华文仿宋" w:cs="华文仿宋"/>
          <w:sz w:val="28"/>
          <w:szCs w:val="28"/>
          <w:lang w:val="en-US" w:eastAsia="zh-CN"/>
        </w:rPr>
        <w:t>济南公共资源多CA统一认证中间件</w:t>
      </w:r>
    </w:p>
    <w:p w14:paraId="266AAD77">
      <w:pPr>
        <w:pStyle w:val="2"/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</w:pPr>
      <w:bookmarkStart w:id="7" w:name="_Toc2906"/>
      <w:r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  <w:t>企业登录信创交易平台</w:t>
      </w:r>
      <w:bookmarkEnd w:id="7"/>
    </w:p>
    <w:p w14:paraId="0CAC978B">
      <w:pPr>
        <w:rPr>
          <w:rFonts w:hint="default"/>
          <w:lang w:val="en-US" w:eastAsia="zh-CN"/>
        </w:rPr>
      </w:pPr>
      <w:r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  <w:t>业务流转：项目登记→场地预约→招标公告录入→招标文件提交→招标公告发布。</w:t>
      </w:r>
    </w:p>
    <w:p w14:paraId="0DD32329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华文仿宋" w:hAnsi="华文仿宋" w:eastAsia="华文仿宋" w:cs="华文仿宋"/>
          <w:sz w:val="32"/>
          <w:szCs w:val="32"/>
          <w:lang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交易主体可直接使用CA</w:t>
      </w:r>
      <w:r>
        <w:rPr>
          <w:rFonts w:hint="eastAsia" w:ascii="华文仿宋" w:hAnsi="华文仿宋" w:eastAsia="华文仿宋" w:cs="华文仿宋"/>
          <w:sz w:val="32"/>
          <w:szCs w:val="32"/>
        </w:rPr>
        <w:t>进入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济南公共资源交易中心</w:t>
      </w:r>
      <w:r>
        <w:rPr>
          <w:rFonts w:hint="eastAsia" w:ascii="华文仿宋" w:hAnsi="华文仿宋" w:eastAsia="华文仿宋" w:cs="华文仿宋"/>
          <w:sz w:val="32"/>
          <w:szCs w:val="32"/>
        </w:rPr>
        <w:t>登录页面，网址：</w:t>
      </w:r>
      <w:r>
        <w:rPr>
          <w:rFonts w:hint="eastAsia" w:ascii="华文仿宋" w:hAnsi="华文仿宋" w:eastAsia="华文仿宋" w:cs="华文仿宋"/>
          <w:sz w:val="32"/>
          <w:szCs w:val="32"/>
        </w:rPr>
        <w:fldChar w:fldCharType="begin"/>
      </w:r>
      <w:r>
        <w:rPr>
          <w:rFonts w:hint="eastAsia" w:ascii="华文仿宋" w:hAnsi="华文仿宋" w:eastAsia="华文仿宋" w:cs="华文仿宋"/>
          <w:sz w:val="32"/>
          <w:szCs w:val="32"/>
        </w:rPr>
        <w:instrText xml:space="preserve"> HYPERLINK "http://60.208.108.150:10081/jyweb/jn-login。" </w:instrText>
      </w:r>
      <w:r>
        <w:rPr>
          <w:rFonts w:hint="eastAsia" w:ascii="华文仿宋" w:hAnsi="华文仿宋" w:eastAsia="华文仿宋" w:cs="华文仿宋"/>
          <w:sz w:val="32"/>
          <w:szCs w:val="32"/>
        </w:rPr>
        <w:fldChar w:fldCharType="separate"/>
      </w:r>
      <w:r>
        <w:rPr>
          <w:rStyle w:val="18"/>
          <w:rFonts w:hint="eastAsia" w:ascii="华文仿宋" w:hAnsi="华文仿宋" w:eastAsia="华文仿宋" w:cs="华文仿宋"/>
          <w:sz w:val="32"/>
          <w:szCs w:val="32"/>
        </w:rPr>
        <w:t>http://60.208.108.150:10081/jyweb/jn-login</w:t>
      </w:r>
      <w:r>
        <w:rPr>
          <w:rStyle w:val="18"/>
          <w:rFonts w:hint="eastAsia" w:ascii="华文仿宋" w:hAnsi="华文仿宋" w:eastAsia="华文仿宋" w:cs="华文仿宋"/>
          <w:sz w:val="32"/>
          <w:szCs w:val="32"/>
          <w:lang w:eastAsia="zh-CN"/>
        </w:rPr>
        <w:t>。</w:t>
      </w:r>
      <w:r>
        <w:rPr>
          <w:rFonts w:hint="eastAsia" w:ascii="华文仿宋" w:hAnsi="华文仿宋" w:eastAsia="华文仿宋" w:cs="华文仿宋"/>
          <w:sz w:val="32"/>
          <w:szCs w:val="32"/>
        </w:rPr>
        <w:fldChar w:fldCharType="end"/>
      </w:r>
    </w:p>
    <w:p w14:paraId="21E9FAC1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交易主体选择“CA登录”、选择“子系统”和“角色”，输入验证码。</w:t>
      </w:r>
    </w:p>
    <w:p w14:paraId="662BFC91">
      <w:pP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4636135" cy="2912745"/>
            <wp:effectExtent l="0" t="0" r="12065" b="1905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36135" cy="291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F2C78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 w:firstLine="640" w:firstLineChars="200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点击“CA登录”入口，核对CA数字证书信息，点击“登录”按钮，确认CA数字证书信息，用户信息正确后，即可登录进入信创交易平台。(</w:t>
      </w: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CA数字证书登录方式需要用户先绑定CA数字证书，具体绑定请到企业管理中绑定CA数字证书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)</w:t>
      </w:r>
    </w:p>
    <w:p w14:paraId="78A687D8">
      <w:pPr>
        <w:pStyle w:val="2"/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</w:pPr>
      <w:bookmarkStart w:id="8" w:name="_Toc11342"/>
      <w:r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  <w:t>新项目登记</w:t>
      </w:r>
      <w:bookmarkEnd w:id="8"/>
    </w:p>
    <w:p w14:paraId="4C005F3A">
      <w:pPr>
        <w:rPr>
          <w:rFonts w:hint="default"/>
          <w:lang w:val="en-US"/>
        </w:rPr>
      </w:pPr>
      <w:r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  <w:t>业务流转：代理提交项目登记。</w:t>
      </w:r>
    </w:p>
    <w:p w14:paraId="0D6697A2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登录成功后，点击左侧“招标业务”的“招标项目”子菜单，进行新项目录入。</w:t>
      </w:r>
    </w:p>
    <w:p w14:paraId="1875062B">
      <w:pPr>
        <w:ind w:left="0" w:leftChars="0" w:firstLine="0" w:firstLineChars="0"/>
      </w:pPr>
      <w:r>
        <w:drawing>
          <wp:inline distT="0" distB="0" distL="114300" distR="114300">
            <wp:extent cx="5269230" cy="1543685"/>
            <wp:effectExtent l="0" t="0" r="7620" b="18415"/>
            <wp:docPr id="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B5BB3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“招标项目”列表展示已录入项目列表。代理点击“操作”列中的“进入业务”按钮，查看项目每个阶段的进展进度和信息。</w:t>
      </w:r>
    </w:p>
    <w:p w14:paraId="14648544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67960" cy="1988820"/>
            <wp:effectExtent l="0" t="0" r="8890" b="11430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60AD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640" w:firstLineChars="200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3、招标代理可点击“新增”按钮，进入“新项目登记”。项目登记分为：招标项目概况、主体单位信息、标段信息、其他手续。</w:t>
      </w:r>
    </w:p>
    <w:p w14:paraId="4EBE4F4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640" w:firstLineChars="200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（1）项目概况：录入项目名称、招标方式、资金来源、项目专业、行政区划、资格审查方式、是否纳入分散等相关信息。</w:t>
      </w:r>
    </w:p>
    <w:p w14:paraId="4E81F850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59705" cy="2464435"/>
            <wp:effectExtent l="0" t="0" r="17145" b="12065"/>
            <wp:docPr id="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791D0">
      <w:pPr>
        <w:ind w:left="0" w:leftChars="0" w:firstLine="0" w:firstLineChars="0"/>
        <w:rPr>
          <w:rFonts w:hint="eastAsia" w:ascii="华文仿宋" w:hAnsi="华文仿宋" w:eastAsia="华文仿宋" w:cs="华文仿宋"/>
          <w:color w:val="FF0000"/>
          <w:sz w:val="24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color w:val="FF0000"/>
          <w:sz w:val="24"/>
          <w:szCs w:val="32"/>
          <w:lang w:val="en-US" w:eastAsia="zh-CN"/>
        </w:rPr>
        <w:t>*项目编号：系统根据统一规则生成，无需填写。</w:t>
      </w:r>
    </w:p>
    <w:p w14:paraId="04C4BEF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640" w:firstLineChars="200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（2）主体单位信息：录入招标的招标单位和建设单位和代建单位的相关信息。</w:t>
      </w:r>
    </w:p>
    <w:p w14:paraId="728EA40A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62245" cy="2289810"/>
            <wp:effectExtent l="0" t="0" r="14605" b="15240"/>
            <wp:docPr id="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488B1">
      <w:pPr>
        <w:rPr>
          <w:rFonts w:hint="eastAsia" w:ascii="华文仿宋" w:hAnsi="华文仿宋" w:eastAsia="华文仿宋" w:cs="华文仿宋"/>
          <w:lang w:val="en-US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注：点击招标单位的“新增”按钮，在弹出页面中，选择“主要单位”，在单位名称列表输入“名称关键字”可直接提取单位的相关信息。</w:t>
      </w:r>
    </w:p>
    <w:p w14:paraId="1D264E4D">
      <w:pPr>
        <w:ind w:left="0" w:leftChars="0" w:firstLine="0" w:firstLineChars="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63515" cy="2160270"/>
            <wp:effectExtent l="0" t="0" r="13335" b="11430"/>
            <wp:docPr id="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E87DD"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-10" w:leftChars="0" w:firstLine="640" w:firstLineChars="0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标段信息：点击“新增”按钮，录入项目标段情况。</w:t>
      </w:r>
    </w:p>
    <w:p w14:paraId="391E2C6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71770" cy="1849755"/>
            <wp:effectExtent l="0" t="0" r="5080" b="17145"/>
            <wp:docPr id="2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4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01E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新增标段信息页面，录入标段（分包）名称、报价方式、标段（分包）内容、规模、专业类别等内容。</w:t>
      </w:r>
    </w:p>
    <w:p w14:paraId="2542CF1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73040" cy="2788920"/>
            <wp:effectExtent l="0" t="0" r="3810" b="1143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097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640" w:firstLineChars="200"/>
        <w:textAlignment w:val="auto"/>
        <w:rPr>
          <w:rFonts w:hint="eastAsia" w:ascii="华文仿宋" w:hAnsi="华文仿宋" w:eastAsia="华文仿宋" w:cs="华文仿宋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（5）其他手续：选择是否采用告知承诺制、查看承诺书并签章、上传计划批文、图审材料、代理合同等内容。</w:t>
      </w:r>
    </w:p>
    <w:p w14:paraId="55600944">
      <w:pPr>
        <w:ind w:left="0" w:leftChars="0" w:firstLine="0" w:firstLineChars="0"/>
      </w:pPr>
      <w:r>
        <w:drawing>
          <wp:inline distT="0" distB="0" distL="114300" distR="114300">
            <wp:extent cx="5263515" cy="2360930"/>
            <wp:effectExtent l="0" t="0" r="13335" b="1270"/>
            <wp:docPr id="2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350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济南市房屋建筑及市政工程招标信息录入风险承诺书签章：</w:t>
      </w:r>
    </w:p>
    <w:p w14:paraId="449187D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点击页面中的“签章”按钮</w:t>
      </w:r>
    </w:p>
    <w:p w14:paraId="2CDE49C0">
      <w:pPr>
        <w:ind w:left="0" w:leftChars="0" w:firstLine="0" w:firstLineChars="0"/>
      </w:pPr>
      <w:r>
        <w:drawing>
          <wp:inline distT="0" distB="0" distL="114300" distR="114300">
            <wp:extent cx="5262880" cy="559435"/>
            <wp:effectExtent l="0" t="0" r="13970" b="12065"/>
            <wp:docPr id="7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55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3FE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点击页面右上角的“签章”按钮，对承诺书进行签章，签章完成后点击“提交”</w:t>
      </w:r>
    </w:p>
    <w:p w14:paraId="73BA22DF">
      <w:pPr>
        <w:ind w:left="0" w:leftChars="0" w:firstLine="0" w:firstLineChars="0"/>
        <w:rPr>
          <w:rFonts w:hint="eastAsia"/>
          <w:lang w:eastAsia="zh-CN"/>
        </w:rPr>
      </w:pPr>
      <w:r>
        <w:drawing>
          <wp:inline distT="0" distB="0" distL="114300" distR="114300">
            <wp:extent cx="5264150" cy="2783205"/>
            <wp:effectExtent l="0" t="0" r="12700" b="17145"/>
            <wp:docPr id="7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8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46FD8">
      <w:pPr>
        <w:ind w:left="0" w:leftChars="0" w:firstLine="0" w:firstLineChars="0"/>
        <w:rPr>
          <w:rFonts w:hint="eastAsia"/>
        </w:rPr>
      </w:pPr>
    </w:p>
    <w:p w14:paraId="76A871CF"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-10" w:leftChars="0" w:firstLine="640" w:firstLineChars="0"/>
        <w:textAlignment w:val="auto"/>
        <w:rPr>
          <w:rFonts w:hint="default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填写完整项目登记信息后，请等待招标人对承诺书签章。招标人签章后，招标代理点击“提交”按钮，提交项目登记信息。</w:t>
      </w:r>
    </w:p>
    <w:p w14:paraId="2CF7130C">
      <w:pPr>
        <w:pStyle w:val="2"/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</w:pPr>
      <w:bookmarkStart w:id="9" w:name="_Toc27899"/>
      <w:r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  <w:t>场地预约</w:t>
      </w:r>
      <w:bookmarkEnd w:id="9"/>
    </w:p>
    <w:p w14:paraId="6C68CB23">
      <w:pP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提交完毕项目登记信息的项目通过场地预约功能预约项目开标、评标场地。</w:t>
      </w:r>
    </w:p>
    <w:p w14:paraId="534960B1">
      <w:pP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（1）点击“场地预约”节点，进入场地预约页面。</w:t>
      </w:r>
    </w:p>
    <w:p w14:paraId="5F76ABAD">
      <w:pPr>
        <w:pStyle w:val="22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before="156" w:after="156"/>
        <w:rPr>
          <w:sz w:val="21"/>
          <w:szCs w:val="21"/>
        </w:rPr>
      </w:pPr>
      <w:r>
        <w:drawing>
          <wp:inline distT="0" distB="0" distL="114300" distR="114300">
            <wp:extent cx="5262245" cy="2329815"/>
            <wp:effectExtent l="0" t="0" r="14605" b="13335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07AFA"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（2）选择要预约的标段以及填写预约时间、专家人数、是否就近评标等信息。</w:t>
      </w:r>
    </w:p>
    <w:p w14:paraId="13B82A95"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（3）点击“预约”按钮，提交场地预约信息。</w:t>
      </w:r>
    </w:p>
    <w:p w14:paraId="4AAF31CC">
      <w:pPr>
        <w:pageBreakBefore w:val="0"/>
        <w:widowControl w:val="0"/>
        <w:numPr>
          <w:ilvl w:val="0"/>
          <w:numId w:val="7"/>
        </w:numPr>
        <w:kinsoku/>
        <w:wordWrap/>
        <w:overflowPunct/>
        <w:autoSpaceDE/>
        <w:autoSpaceDN/>
        <w:bidi w:val="0"/>
        <w:adjustRightInd/>
        <w:snapToGrid/>
        <w:ind w:left="420" w:leftChars="0" w:hanging="420" w:firstLineChars="0"/>
        <w:rPr>
          <w:b/>
          <w:sz w:val="21"/>
          <w:szCs w:val="21"/>
        </w:rPr>
      </w:pPr>
      <w:r>
        <w:rPr>
          <w:rFonts w:hint="eastAsia"/>
          <w:b/>
          <w:sz w:val="21"/>
          <w:szCs w:val="21"/>
        </w:rPr>
        <w:t>场地预约信息介绍</w:t>
      </w:r>
    </w:p>
    <w:p w14:paraId="72E4314B">
      <w:pPr>
        <w:pStyle w:val="2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361"/>
        <w:rPr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标段（分包）</w:t>
      </w:r>
      <w:r>
        <w:rPr>
          <w:rFonts w:hint="eastAsia"/>
          <w:sz w:val="21"/>
          <w:szCs w:val="21"/>
        </w:rPr>
        <w:t>名称：当前需要预约场地的项目名称。系统自动获取。</w:t>
      </w:r>
    </w:p>
    <w:p w14:paraId="20CA9DEC">
      <w:pPr>
        <w:pStyle w:val="2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361"/>
        <w:rPr>
          <w:rFonts w:hint="eastAsia"/>
          <w:sz w:val="21"/>
          <w:szCs w:val="21"/>
          <w:lang w:eastAsia="zh-CN"/>
        </w:rPr>
      </w:pPr>
      <w:r>
        <w:rPr>
          <w:rFonts w:hint="eastAsia"/>
          <w:sz w:val="21"/>
          <w:szCs w:val="21"/>
        </w:rPr>
        <w:t>开标场地：项目开标室场地。</w:t>
      </w:r>
    </w:p>
    <w:p w14:paraId="6F6EE2BE">
      <w:pPr>
        <w:pStyle w:val="2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361"/>
        <w:rPr>
          <w:rFonts w:hint="eastAsia"/>
          <w:sz w:val="21"/>
          <w:szCs w:val="21"/>
          <w:lang w:eastAsia="zh-CN"/>
        </w:rPr>
      </w:pPr>
      <w:r>
        <w:drawing>
          <wp:inline distT="0" distB="0" distL="114300" distR="114300">
            <wp:extent cx="5259070" cy="2234565"/>
            <wp:effectExtent l="0" t="0" r="17780" b="13335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3BAFD">
      <w:pPr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招标代理在发布公告前，可以点击“取消预约”按钮，撤销场地信息重新预约。</w:t>
      </w:r>
    </w:p>
    <w:p w14:paraId="6B35DDEC">
      <w:pPr>
        <w:pStyle w:val="2"/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</w:pPr>
      <w:bookmarkStart w:id="10" w:name="_Toc29382"/>
      <w:r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  <w:t>招标公告</w:t>
      </w:r>
      <w:bookmarkEnd w:id="10"/>
    </w:p>
    <w:p w14:paraId="6A06E3A0">
      <w:pPr>
        <w:pStyle w:val="3"/>
        <w:numPr>
          <w:ilvl w:val="1"/>
          <w:numId w:val="0"/>
        </w:numPr>
        <w:bidi w:val="0"/>
        <w:ind w:left="-141" w:leftChars="0"/>
        <w:rPr>
          <w:rFonts w:hint="eastAsia" w:ascii="华文仿宋" w:hAnsi="华文仿宋" w:eastAsia="华文仿宋" w:cs="华文仿宋"/>
        </w:rPr>
      </w:pPr>
      <w:bookmarkStart w:id="11" w:name="_Toc12958"/>
      <w:r>
        <w:rPr>
          <w:rFonts w:hint="eastAsia" w:ascii="华文仿宋" w:hAnsi="华文仿宋" w:eastAsia="华文仿宋" w:cs="华文仿宋"/>
          <w:lang w:val="en-US" w:eastAsia="zh-CN"/>
        </w:rPr>
        <w:t>（一）</w:t>
      </w:r>
      <w:r>
        <w:rPr>
          <w:rFonts w:hint="eastAsia" w:ascii="华文仿宋" w:hAnsi="华文仿宋" w:eastAsia="华文仿宋" w:cs="华文仿宋"/>
        </w:rPr>
        <w:t>功能介绍</w:t>
      </w:r>
      <w:bookmarkEnd w:id="11"/>
    </w:p>
    <w:p w14:paraId="6FC8E342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  <w:rPr>
          <w:sz w:val="28"/>
          <w:szCs w:val="28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招标代理通过招标公告流程编制发布项目招标公告。</w:t>
      </w:r>
      <w:bookmarkStart w:id="12" w:name="_bookmark19"/>
      <w:bookmarkEnd w:id="12"/>
      <w:bookmarkStart w:id="13" w:name="_bookmark21"/>
      <w:bookmarkEnd w:id="13"/>
      <w:bookmarkStart w:id="14" w:name="_bookmark20"/>
      <w:bookmarkEnd w:id="14"/>
    </w:p>
    <w:p w14:paraId="7C2A482A">
      <w:pPr>
        <w:pStyle w:val="3"/>
        <w:numPr>
          <w:ilvl w:val="1"/>
          <w:numId w:val="0"/>
        </w:numPr>
        <w:bidi w:val="0"/>
        <w:ind w:left="-141" w:leftChars="0"/>
        <w:rPr>
          <w:rFonts w:hint="eastAsia" w:ascii="华文仿宋" w:hAnsi="华文仿宋" w:eastAsia="华文仿宋" w:cs="华文仿宋"/>
          <w:lang w:val="en-US" w:eastAsia="zh-CN"/>
        </w:rPr>
      </w:pPr>
      <w:bookmarkStart w:id="15" w:name="_Toc17757"/>
      <w:r>
        <w:rPr>
          <w:rFonts w:hint="eastAsia" w:ascii="华文仿宋" w:hAnsi="华文仿宋" w:eastAsia="华文仿宋" w:cs="华文仿宋"/>
          <w:lang w:val="en-US" w:eastAsia="zh-CN"/>
        </w:rPr>
        <w:t>（二）具体操作</w:t>
      </w:r>
      <w:bookmarkEnd w:id="15"/>
    </w:p>
    <w:p w14:paraId="193F2F83">
      <w:pP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1、点击“招标公告”节点，进入招标公告页面。选择需要发布招标公告的项目，进入编制招标公告界面。</w:t>
      </w:r>
    </w:p>
    <w:p w14:paraId="6AEFCB20">
      <w:pPr>
        <w:pStyle w:val="22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before="156" w:after="156"/>
        <w:jc w:val="both"/>
      </w:pPr>
      <w:r>
        <w:drawing>
          <wp:inline distT="0" distB="0" distL="114300" distR="114300">
            <wp:extent cx="5273040" cy="2433955"/>
            <wp:effectExtent l="0" t="0" r="3810" b="4445"/>
            <wp:docPr id="3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10725"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after="156" w:line="460" w:lineRule="exact"/>
        <w:ind w:firstLine="560" w:firstLineChars="200"/>
        <w:jc w:val="both"/>
        <w:textAlignment w:val="auto"/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2、完善好招标公告信息后，点击“保存”按钮，保存招标公告信息；</w:t>
      </w:r>
    </w:p>
    <w:p w14:paraId="518584E2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left="0" w:leftChars="0" w:firstLine="0" w:firstLineChars="0"/>
      </w:pPr>
      <w:r>
        <w:drawing>
          <wp:inline distT="0" distB="0" distL="114300" distR="114300">
            <wp:extent cx="5264785" cy="2445385"/>
            <wp:effectExtent l="0" t="0" r="12065" b="12065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A744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60" w:lineRule="exact"/>
        <w:ind w:left="0" w:leftChars="0" w:firstLine="560" w:firstLineChars="200"/>
        <w:jc w:val="left"/>
        <w:textAlignment w:val="auto"/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3、点击“预览”按钮，可以预览查看招标公告详细信息。</w:t>
      </w:r>
    </w:p>
    <w:p w14:paraId="77BE06AA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left="0" w:leftChars="0" w:firstLine="0" w:firstLineChars="0"/>
        <w:rPr>
          <w:rFonts w:hint="eastAsia"/>
          <w:sz w:val="21"/>
          <w:szCs w:val="21"/>
          <w:lang w:eastAsia="zh-CN"/>
        </w:rPr>
      </w:pPr>
      <w:r>
        <w:drawing>
          <wp:inline distT="0" distB="0" distL="114300" distR="114300">
            <wp:extent cx="5270500" cy="1934210"/>
            <wp:effectExtent l="0" t="0" r="6350" b="8890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3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DE358">
      <w:pPr>
        <w:pStyle w:val="2"/>
        <w:numPr>
          <w:ilvl w:val="0"/>
          <w:numId w:val="1"/>
        </w:numPr>
        <w:rPr>
          <w:rFonts w:hint="eastAsia" w:ascii="华文仿宋" w:hAnsi="华文仿宋" w:eastAsia="华文仿宋" w:cs="华文仿宋"/>
        </w:rPr>
      </w:pPr>
      <w:bookmarkStart w:id="16" w:name="_Toc1149"/>
      <w:r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  <w:t>编制招标文件</w:t>
      </w:r>
      <w:bookmarkEnd w:id="16"/>
    </w:p>
    <w:p w14:paraId="0FDE9D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1、点击“招标文件”业务节点，进行“创建文件”。</w:t>
      </w:r>
    </w:p>
    <w:p w14:paraId="2A90944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64150" cy="1760855"/>
            <wp:effectExtent l="0" t="0" r="12700" b="10795"/>
            <wp:docPr id="3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110C1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640" w:firstLineChars="200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点击“创建文件”，选择文件模版。</w:t>
      </w:r>
    </w:p>
    <w:p w14:paraId="4CDDFCF9">
      <w:pPr>
        <w:ind w:left="0" w:leftChars="0" w:firstLine="0" w:firstLineChars="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66690" cy="929640"/>
            <wp:effectExtent l="0" t="0" r="10160" b="3810"/>
            <wp:docPr id="4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92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12506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640" w:firstLineChars="200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招标文件模版分为：基本信息、工程量清单、评标办法、编制招标书、文件汇总模块。</w:t>
      </w:r>
    </w:p>
    <w:p w14:paraId="14C05D0A">
      <w:pPr>
        <w:pStyle w:val="3"/>
        <w:numPr>
          <w:ilvl w:val="1"/>
          <w:numId w:val="0"/>
        </w:numPr>
        <w:bidi w:val="0"/>
        <w:ind w:left="-141" w:leftChars="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bookmarkStart w:id="17" w:name="_Toc22130"/>
      <w:r>
        <w:rPr>
          <w:rFonts w:hint="eastAsia" w:ascii="华文仿宋" w:hAnsi="华文仿宋" w:eastAsia="华文仿宋" w:cs="华文仿宋"/>
          <w:lang w:val="en-US" w:eastAsia="zh-CN"/>
        </w:rPr>
        <w:t>（一）基本信息：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展示项目标段基本信息。</w:t>
      </w:r>
      <w:bookmarkEnd w:id="17"/>
    </w:p>
    <w:p w14:paraId="435B6F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73040" cy="2037080"/>
            <wp:effectExtent l="0" t="0" r="3810" b="1270"/>
            <wp:docPr id="1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A089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1、参数设置：对项目影响评标的关键数据进行设置。</w:t>
      </w:r>
    </w:p>
    <w:p w14:paraId="0C2A2EC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59070" cy="2400300"/>
            <wp:effectExtent l="0" t="0" r="17780" b="0"/>
            <wp:docPr id="12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9D7DC">
      <w:pPr>
        <w:pStyle w:val="3"/>
        <w:numPr>
          <w:ilvl w:val="1"/>
          <w:numId w:val="0"/>
        </w:numPr>
        <w:bidi w:val="0"/>
        <w:ind w:left="-141" w:leftChars="0"/>
        <w:rPr>
          <w:rFonts w:hint="eastAsia" w:ascii="华文仿宋" w:hAnsi="华文仿宋" w:eastAsia="华文仿宋" w:cs="华文仿宋"/>
          <w:lang w:val="en-US" w:eastAsia="zh-CN"/>
        </w:rPr>
      </w:pPr>
      <w:bookmarkStart w:id="18" w:name="_Toc4677"/>
      <w:r>
        <w:rPr>
          <w:rFonts w:hint="eastAsia" w:ascii="华文仿宋" w:hAnsi="华文仿宋" w:eastAsia="华文仿宋" w:cs="华文仿宋"/>
          <w:lang w:val="en-US" w:eastAsia="zh-CN"/>
        </w:rPr>
        <w:t>（二）开标一览表</w:t>
      </w:r>
      <w:bookmarkEnd w:id="18"/>
    </w:p>
    <w:p w14:paraId="0B566B0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设置基本信息和报价信息，设定是否唱标，设定的开标一览表数据，由投标人进行填写。</w:t>
      </w:r>
    </w:p>
    <w:p w14:paraId="0157A0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华文仿宋" w:hAnsi="华文仿宋" w:eastAsia="华文仿宋" w:cs="华文仿宋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32070" cy="2400935"/>
            <wp:effectExtent l="0" t="0" r="11430" b="18415"/>
            <wp:docPr id="111" name="图片 1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6" descr="IMG_25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32070" cy="2400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277E1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560" w:firstLineChars="20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模版支持新增、删除、编辑、是否唱标等操作。</w:t>
      </w:r>
    </w:p>
    <w:p w14:paraId="0F2FC0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（1）【新增投标信息项】：招标代理选中要新增项的父级节点，点击【新增】按钮，系统会在指定位置新增一条投标信息内容。</w:t>
      </w:r>
    </w:p>
    <w:p w14:paraId="06116D1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66690" cy="2536825"/>
            <wp:effectExtent l="0" t="0" r="10160" b="15875"/>
            <wp:docPr id="8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3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5C3D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（2）【编辑】：鼠标定位到编辑位置，修改要编辑的内容。</w:t>
      </w:r>
    </w:p>
    <w:p w14:paraId="07C1D1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71770" cy="1771650"/>
            <wp:effectExtent l="0" t="0" r="5080" b="0"/>
            <wp:docPr id="12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7ED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（3）【是否唱标】：针对每一项投标信息，招标代理可以设定是否唱标。</w:t>
      </w:r>
    </w:p>
    <w:p w14:paraId="258253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70500" cy="1626235"/>
            <wp:effectExtent l="0" t="0" r="6350" b="12065"/>
            <wp:docPr id="14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2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A5B5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（4）【删除】：招标代理在要删除的投标项后面点击“删除”按钮后点击“确定”。</w:t>
      </w:r>
    </w:p>
    <w:p w14:paraId="6AEBB8F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</w:pPr>
      <w:r>
        <w:drawing>
          <wp:inline distT="0" distB="0" distL="114300" distR="114300">
            <wp:extent cx="5273675" cy="2197735"/>
            <wp:effectExtent l="0" t="0" r="3175" b="12065"/>
            <wp:docPr id="14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2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333CB">
      <w:pPr>
        <w:pStyle w:val="3"/>
        <w:numPr>
          <w:ilvl w:val="0"/>
          <w:numId w:val="9"/>
        </w:numPr>
        <w:bidi w:val="0"/>
        <w:ind w:left="576" w:leftChars="0" w:firstLineChars="0"/>
        <w:rPr>
          <w:rFonts w:hint="eastAsia" w:ascii="华文仿宋" w:hAnsi="华文仿宋" w:eastAsia="华文仿宋" w:cs="华文仿宋"/>
          <w:lang w:val="en-US" w:eastAsia="zh-CN"/>
        </w:rPr>
      </w:pPr>
      <w:bookmarkStart w:id="19" w:name="_Toc27298"/>
      <w:r>
        <w:rPr>
          <w:rFonts w:hint="eastAsia" w:ascii="华文仿宋" w:hAnsi="华文仿宋" w:eastAsia="华文仿宋" w:cs="华文仿宋"/>
          <w:lang w:val="en-US" w:eastAsia="zh-CN"/>
        </w:rPr>
        <w:t>工程量清单</w:t>
      </w:r>
      <w:bookmarkEnd w:id="19"/>
    </w:p>
    <w:p w14:paraId="5192C4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560" w:firstLineChars="20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点击“选择文件”，上传控制价和招标清单。</w:t>
      </w:r>
    </w:p>
    <w:p w14:paraId="7205A1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="宋体"/>
          <w:lang w:val="en-US" w:eastAsia="zh-CN"/>
        </w:rPr>
      </w:pPr>
      <w:r>
        <w:drawing>
          <wp:inline distT="0" distB="0" distL="114300" distR="114300">
            <wp:extent cx="5266690" cy="2480945"/>
            <wp:effectExtent l="0" t="0" r="10160" b="14605"/>
            <wp:docPr id="8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6E7E7">
      <w:pPr>
        <w:pStyle w:val="3"/>
        <w:numPr>
          <w:ilvl w:val="1"/>
          <w:numId w:val="0"/>
        </w:numPr>
        <w:bidi w:val="0"/>
        <w:ind w:left="-141" w:leftChars="0"/>
        <w:rPr>
          <w:rFonts w:hint="eastAsia" w:ascii="华文仿宋" w:hAnsi="华文仿宋" w:eastAsia="华文仿宋" w:cs="华文仿宋"/>
          <w:lang w:val="en-US" w:eastAsia="zh-CN"/>
        </w:rPr>
      </w:pPr>
      <w:bookmarkStart w:id="20" w:name="_Toc6972"/>
      <w:r>
        <w:rPr>
          <w:rFonts w:hint="eastAsia" w:ascii="华文仿宋" w:hAnsi="华文仿宋" w:eastAsia="华文仿宋" w:cs="华文仿宋"/>
          <w:lang w:val="en-US" w:eastAsia="zh-CN"/>
        </w:rPr>
        <w:t>（四）评标办法</w:t>
      </w:r>
      <w:bookmarkEnd w:id="20"/>
    </w:p>
    <w:p w14:paraId="57EDDEE4">
      <w:pP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评标办法文件需要对【投标文件要求（目录项）】和【评审标准（评分项）】进行</w:t>
      </w:r>
      <w:r>
        <w:rPr>
          <w:rFonts w:hint="eastAsia" w:ascii="华文仿宋" w:hAnsi="华文仿宋" w:eastAsia="华文仿宋" w:cs="华文仿宋"/>
          <w:b/>
          <w:bCs/>
          <w:color w:val="FF0000"/>
          <w:sz w:val="28"/>
          <w:szCs w:val="28"/>
          <w:lang w:val="en-US" w:eastAsia="zh-CN"/>
        </w:rPr>
        <w:t>分开</w:t>
      </w: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编制。评分项与目录项通过</w:t>
      </w:r>
      <w:r>
        <w:rPr>
          <w:rFonts w:hint="eastAsia" w:ascii="华文仿宋" w:hAnsi="华文仿宋" w:eastAsia="华文仿宋" w:cs="华文仿宋"/>
          <w:b/>
          <w:bCs/>
          <w:color w:val="FF0000"/>
          <w:sz w:val="28"/>
          <w:szCs w:val="28"/>
          <w:lang w:val="en-US" w:eastAsia="zh-CN"/>
        </w:rPr>
        <w:t>关联目录</w:t>
      </w: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功能进行绑定，关联目录可以减少专家查找文件时间。</w:t>
      </w:r>
    </w:p>
    <w:p w14:paraId="78D26322">
      <w:pPr>
        <w:pStyle w:val="4"/>
        <w:bidi w:val="0"/>
        <w:rPr>
          <w:rFonts w:hint="eastAsia" w:ascii="华文仿宋" w:hAnsi="华文仿宋" w:eastAsia="华文仿宋" w:cs="华文仿宋"/>
          <w:lang w:val="en-US" w:eastAsia="zh-CN"/>
        </w:rPr>
      </w:pPr>
      <w:bookmarkStart w:id="21" w:name="_Toc409"/>
      <w:bookmarkStart w:id="22" w:name="_Toc1232"/>
      <w:r>
        <w:rPr>
          <w:rFonts w:hint="eastAsia" w:ascii="华文仿宋" w:hAnsi="华文仿宋" w:eastAsia="华文仿宋" w:cs="华文仿宋"/>
          <w:lang w:val="en-US" w:eastAsia="zh-CN"/>
        </w:rPr>
        <w:t>第一步：选择评标办法参数设置模版</w:t>
      </w:r>
      <w:bookmarkEnd w:id="21"/>
      <w:bookmarkEnd w:id="22"/>
    </w:p>
    <w:p w14:paraId="026DBB8A">
      <w:pPr>
        <w:ind w:firstLine="56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需要在【投标文件组成设置】中切换选择模版。</w:t>
      </w:r>
    </w:p>
    <w:p w14:paraId="46E7170E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62245" cy="2498725"/>
            <wp:effectExtent l="0" t="0" r="14605" b="15875"/>
            <wp:docPr id="15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2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49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34CF5">
      <w:pPr>
        <w:pStyle w:val="4"/>
        <w:bidi w:val="0"/>
        <w:rPr>
          <w:rFonts w:hint="eastAsia" w:ascii="华文仿宋" w:hAnsi="华文仿宋" w:eastAsia="华文仿宋" w:cs="华文仿宋"/>
          <w:lang w:val="en-US" w:eastAsia="zh-CN"/>
        </w:rPr>
      </w:pPr>
      <w:bookmarkStart w:id="23" w:name="_Toc12647"/>
      <w:bookmarkStart w:id="24" w:name="_Toc7324"/>
      <w:r>
        <w:rPr>
          <w:rFonts w:hint="eastAsia" w:ascii="华文仿宋" w:hAnsi="华文仿宋" w:eastAsia="华文仿宋" w:cs="华文仿宋"/>
          <w:lang w:val="en-US" w:eastAsia="zh-CN"/>
        </w:rPr>
        <w:t>第二步：设置投标文件组成</w:t>
      </w:r>
      <w:bookmarkEnd w:id="23"/>
      <w:bookmarkEnd w:id="24"/>
    </w:p>
    <w:p w14:paraId="2134FDF7">
      <w:pPr>
        <w:keepNext w:val="0"/>
        <w:keepLines w:val="0"/>
        <w:pageBreakBefore w:val="0"/>
        <w:widowControl w:val="0"/>
        <w:numPr>
          <w:ilvl w:val="0"/>
          <w:numId w:val="1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560" w:firstLineChars="20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【投标文件组成设置】：投标人制作投标文件时可以绑定的目录项，招标人需认真设定，若有评分项未提供给投标人绑定项可能会导致项目争议。</w:t>
      </w:r>
    </w:p>
    <w:p w14:paraId="433BBBC1">
      <w:pPr>
        <w:keepNext w:val="0"/>
        <w:keepLines w:val="0"/>
        <w:pageBreakBefore w:val="0"/>
        <w:widowControl w:val="0"/>
        <w:numPr>
          <w:ilvl w:val="0"/>
          <w:numId w:val="1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560" w:firstLineChars="20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投标文件目录设置可编辑每个目录项的名称，投标文件要求和投标文件模版。目录项支持设定是否启用、是否必填、添加子项、删除操作；目录项编辑完成后选中最上面的投标文件目录菜单，选择“本地保存”，建议保存文件命名时加上项目名称和评分办法名称，便于下次使用时区分。</w:t>
      </w:r>
    </w:p>
    <w:p w14:paraId="4C936E77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69865" cy="1099820"/>
            <wp:effectExtent l="0" t="0" r="6985" b="5080"/>
            <wp:docPr id="15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2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09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382B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560" w:firstLineChars="20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（1）编辑目录项：点击要编辑目录项后的【编辑按钮】，在弹出页面中修改目录项名称、投标文件要求。</w:t>
      </w:r>
    </w:p>
    <w:p w14:paraId="1E04A2E8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rPr>
          <w:rFonts w:hint="eastAsia" w:ascii="华文仿宋" w:hAnsi="华文仿宋" w:eastAsia="华文仿宋" w:cs="华文仿宋"/>
        </w:rPr>
        <w:drawing>
          <wp:inline distT="0" distB="0" distL="114300" distR="114300">
            <wp:extent cx="5007610" cy="2232660"/>
            <wp:effectExtent l="9525" t="9525" r="12065" b="24765"/>
            <wp:docPr id="3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07610" cy="22326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inline>
        </w:drawing>
      </w:r>
    </w:p>
    <w:p w14:paraId="4D7CE022">
      <w:pPr>
        <w:keepNext w:val="0"/>
        <w:keepLines w:val="0"/>
        <w:pageBreakBefore w:val="0"/>
        <w:widowControl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560" w:firstLineChars="20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添加子项：点击要添加目录项后的【添加子项】按钮，在弹出页面中填写目录名称、投标文件要求。</w:t>
      </w:r>
    </w:p>
    <w:p w14:paraId="11423215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62880" cy="2171065"/>
            <wp:effectExtent l="0" t="0" r="13970" b="635"/>
            <wp:docPr id="15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2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A5E36">
      <w:pPr>
        <w:keepNext w:val="0"/>
        <w:keepLines w:val="0"/>
        <w:pageBreakBefore w:val="0"/>
        <w:widowControl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560" w:firstLineChars="20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启用:招标人（招标代理）可对评分办法模板中不使用项，设定为不启用。</w:t>
      </w:r>
    </w:p>
    <w:p w14:paraId="115B7393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66690" cy="1654175"/>
            <wp:effectExtent l="0" t="0" r="10160" b="3175"/>
            <wp:docPr id="15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2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5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876F0">
      <w:pPr>
        <w:keepNext w:val="0"/>
        <w:keepLines w:val="0"/>
        <w:pageBreakBefore w:val="0"/>
        <w:widowControl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560" w:firstLineChars="20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必填：对投标人必须上传的目录项，设定为必填。</w:t>
      </w:r>
    </w:p>
    <w:p w14:paraId="2F178DD1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73040" cy="1832610"/>
            <wp:effectExtent l="0" t="0" r="3810" b="15240"/>
            <wp:docPr id="15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2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3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10427">
      <w:pPr>
        <w:keepNext w:val="0"/>
        <w:keepLines w:val="0"/>
        <w:pageBreakBefore w:val="0"/>
        <w:widowControl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560" w:firstLineChars="20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删除：不需要使用的目录项，可点击【删除】按钮。</w:t>
      </w:r>
    </w:p>
    <w:p w14:paraId="71EED3EB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67325" cy="1746250"/>
            <wp:effectExtent l="0" t="0" r="9525" b="6350"/>
            <wp:docPr id="15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2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0E9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840" w:firstLineChars="300"/>
        <w:jc w:val="both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3、系统全新融入了</w:t>
      </w:r>
      <w:r>
        <w:rPr>
          <w:rFonts w:hint="eastAsia" w:ascii="华文仿宋" w:hAnsi="华文仿宋" w:eastAsia="华文仿宋" w:cs="华文仿宋"/>
          <w:b/>
          <w:bCs/>
          <w:color w:val="FF0000"/>
          <w:sz w:val="28"/>
          <w:szCs w:val="28"/>
          <w:lang w:val="en-US" w:eastAsia="zh-CN"/>
        </w:rPr>
        <w:t>智能检查</w:t>
      </w: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机制，确保招标人在精心构建</w:t>
      </w:r>
      <w:r>
        <w:rPr>
          <w:rFonts w:hint="eastAsia" w:ascii="华文仿宋" w:hAnsi="华文仿宋" w:eastAsia="华文仿宋" w:cs="华文仿宋"/>
          <w:color w:val="FF0000"/>
          <w:sz w:val="28"/>
          <w:szCs w:val="28"/>
          <w:lang w:val="en-US" w:eastAsia="zh-CN"/>
        </w:rPr>
        <w:t>目录项</w:t>
      </w: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之后，可自主进行查漏补缺的便捷能力，确保每一环节不出问题。</w:t>
      </w:r>
    </w:p>
    <w:p w14:paraId="77914A18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66690" cy="2016760"/>
            <wp:effectExtent l="0" t="0" r="10160" b="2540"/>
            <wp:docPr id="15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2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1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A8275">
      <w:pPr>
        <w:pStyle w:val="4"/>
        <w:bidi w:val="0"/>
        <w:rPr>
          <w:rFonts w:hint="eastAsia" w:ascii="华文仿宋" w:hAnsi="华文仿宋" w:eastAsia="华文仿宋" w:cs="华文仿宋"/>
          <w:lang w:val="en-US" w:eastAsia="zh-CN"/>
        </w:rPr>
      </w:pPr>
      <w:bookmarkStart w:id="25" w:name="_Toc17290"/>
      <w:bookmarkStart w:id="26" w:name="_Toc3537"/>
      <w:r>
        <w:rPr>
          <w:rFonts w:hint="eastAsia" w:ascii="华文仿宋" w:hAnsi="华文仿宋" w:eastAsia="华文仿宋" w:cs="华文仿宋"/>
          <w:lang w:val="en-US" w:eastAsia="zh-CN"/>
        </w:rPr>
        <w:t>第三步：评标办法参数设置</w:t>
      </w:r>
      <w:bookmarkEnd w:id="25"/>
      <w:bookmarkEnd w:id="26"/>
    </w:p>
    <w:p w14:paraId="318798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both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lang w:val="en-US" w:eastAsia="zh-CN"/>
        </w:rPr>
        <w:t xml:space="preserve">   </w:t>
      </w: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1、评标时评审专家的评审项。评分项与目录项通过【关联目录】功能进行绑定。</w:t>
      </w:r>
    </w:p>
    <w:p w14:paraId="4D72D1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840" w:firstLineChars="300"/>
        <w:jc w:val="both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2、评分项支持设定是否启用、添加自动计算项、分数计算设置操作；评分项编辑完成后在最上面菜单选择“PDF预览”， 可提前预览设定是否正确。</w:t>
      </w:r>
    </w:p>
    <w:p w14:paraId="4CA299E7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73040" cy="1670050"/>
            <wp:effectExtent l="0" t="0" r="3810" b="6350"/>
            <wp:docPr id="15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2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7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728E0">
      <w:pPr>
        <w:keepNext w:val="0"/>
        <w:keepLines w:val="0"/>
        <w:pageBreakBefore w:val="0"/>
        <w:widowControl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560" w:firstLineChars="20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color w:val="FF0000"/>
          <w:sz w:val="28"/>
          <w:szCs w:val="28"/>
          <w:lang w:val="en-US" w:eastAsia="zh-CN"/>
        </w:rPr>
        <w:t>关联目录</w:t>
      </w: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：按照规定，所有评分项</w:t>
      </w:r>
      <w:r>
        <w:rPr>
          <w:rFonts w:hint="eastAsia" w:ascii="华文仿宋" w:hAnsi="华文仿宋" w:eastAsia="华文仿宋" w:cs="华文仿宋"/>
          <w:b/>
          <w:bCs/>
          <w:color w:val="FF0000"/>
          <w:sz w:val="28"/>
          <w:szCs w:val="28"/>
          <w:lang w:val="en-US" w:eastAsia="zh-CN"/>
        </w:rPr>
        <w:t>应该</w:t>
      </w: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要关联目录项。用户点击【关联目录】按钮，在弹出页面中勾选需要关联的目录项。</w:t>
      </w:r>
    </w:p>
    <w:p w14:paraId="79724752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58435" cy="1549400"/>
            <wp:effectExtent l="0" t="0" r="18415" b="12700"/>
            <wp:docPr id="15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3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F8323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</w:p>
    <w:p w14:paraId="21B9AE6C">
      <w:pPr>
        <w:keepNext w:val="0"/>
        <w:keepLines w:val="0"/>
        <w:pageBreakBefore w:val="0"/>
        <w:widowControl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560" w:firstLineChars="200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分数计算设置：针对报价项，招标人（招标代理）可点击【分数计算设置】来查看评标基准价和报价得分辅助计算规则。</w:t>
      </w:r>
      <w:r>
        <w:drawing>
          <wp:inline distT="0" distB="0" distL="114300" distR="114300">
            <wp:extent cx="5274310" cy="678815"/>
            <wp:effectExtent l="0" t="0" r="2540" b="6985"/>
            <wp:docPr id="16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3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0E020">
      <w:pPr>
        <w:keepNext w:val="0"/>
        <w:keepLines w:val="0"/>
        <w:pageBreakBefore w:val="0"/>
        <w:widowControl w:val="0"/>
        <w:numPr>
          <w:ilvl w:val="0"/>
          <w:numId w:val="1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560" w:firstLineChars="200"/>
        <w:jc w:val="both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系统全新融入了</w:t>
      </w:r>
      <w:r>
        <w:rPr>
          <w:rFonts w:hint="eastAsia" w:ascii="华文仿宋" w:hAnsi="华文仿宋" w:eastAsia="华文仿宋" w:cs="华文仿宋"/>
          <w:b/>
          <w:bCs/>
          <w:color w:val="FF0000"/>
          <w:sz w:val="28"/>
          <w:szCs w:val="28"/>
          <w:lang w:val="en-US" w:eastAsia="zh-CN"/>
        </w:rPr>
        <w:t>智能检查</w:t>
      </w: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机制，确保招标人在精心构建评分项之后，可自主进行查漏补缺的便捷能力，确保每一环节不出问题。</w:t>
      </w:r>
    </w:p>
    <w:p w14:paraId="6BE1CA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jc w:val="both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（红色：必须解决问题；橙色：提醒）</w:t>
      </w:r>
    </w:p>
    <w:p w14:paraId="0EB080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60975" cy="2320290"/>
            <wp:effectExtent l="0" t="0" r="15875" b="3810"/>
            <wp:docPr id="16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3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32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77357">
      <w:pPr>
        <w:pStyle w:val="3"/>
        <w:numPr>
          <w:ilvl w:val="1"/>
          <w:numId w:val="0"/>
        </w:numPr>
        <w:bidi w:val="0"/>
        <w:ind w:leftChars="0"/>
        <w:rPr>
          <w:rFonts w:hint="eastAsia" w:ascii="华文仿宋" w:hAnsi="华文仿宋" w:eastAsia="华文仿宋" w:cs="华文仿宋"/>
          <w:lang w:val="en-US" w:eastAsia="zh-CN"/>
        </w:rPr>
      </w:pPr>
      <w:bookmarkStart w:id="27" w:name="_Toc10813"/>
      <w:bookmarkStart w:id="28" w:name="_Toc32765"/>
      <w:r>
        <w:rPr>
          <w:rFonts w:hint="eastAsia" w:ascii="华文仿宋" w:hAnsi="华文仿宋" w:eastAsia="华文仿宋" w:cs="华文仿宋"/>
          <w:lang w:val="en-US" w:eastAsia="zh-CN"/>
        </w:rPr>
        <w:t>（五）编制招标书</w:t>
      </w:r>
      <w:bookmarkEnd w:id="27"/>
      <w:bookmarkEnd w:id="28"/>
    </w:p>
    <w:p w14:paraId="5D81BFE1">
      <w:pPr>
        <w:numPr>
          <w:ilvl w:val="0"/>
          <w:numId w:val="0"/>
        </w:numPr>
        <w:ind w:leftChars="0" w:firstLine="42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招标文件，通用模版预设五大部分章节、施工模版预设八大部分章节，同时系统灵活支持招标代理按需增设章节，实现个性化定制。</w:t>
      </w:r>
    </w:p>
    <w:p w14:paraId="068E19E1">
      <w:pPr>
        <w:numPr>
          <w:ilvl w:val="0"/>
          <w:numId w:val="0"/>
        </w:numPr>
        <w:rPr>
          <w:rFonts w:hint="default" w:ascii="华文仿宋" w:hAnsi="华文仿宋" w:eastAsia="宋体" w:cs="华文仿宋"/>
          <w:lang w:val="en-US" w:eastAsia="zh-CN"/>
        </w:rPr>
      </w:pPr>
      <w:r>
        <w:drawing>
          <wp:inline distT="0" distB="0" distL="114300" distR="114300">
            <wp:extent cx="3143885" cy="2322195"/>
            <wp:effectExtent l="0" t="0" r="18415" b="1905"/>
            <wp:docPr id="16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3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143885" cy="232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06065" cy="2322195"/>
            <wp:effectExtent l="0" t="0" r="13335" b="1905"/>
            <wp:docPr id="16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3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806065" cy="232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</w:p>
    <w:p w14:paraId="2B6AB91E">
      <w:pPr>
        <w:numPr>
          <w:ilvl w:val="0"/>
          <w:numId w:val="0"/>
        </w:numPr>
        <w:rPr>
          <w:rFonts w:hint="eastAsia" w:ascii="华文仿宋" w:hAnsi="华文仿宋" w:eastAsia="华文仿宋" w:cs="华文仿宋"/>
        </w:rPr>
      </w:pPr>
    </w:p>
    <w:p w14:paraId="14B54686"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20" w:after="20" w:line="413" w:lineRule="auto"/>
        <w:textAlignment w:val="auto"/>
        <w:rPr>
          <w:rFonts w:hint="eastAsia" w:ascii="华文仿宋" w:hAnsi="华文仿宋" w:eastAsia="华文仿宋" w:cs="华文仿宋"/>
          <w:lang w:val="en-US" w:eastAsia="zh-CN"/>
        </w:rPr>
      </w:pPr>
      <w:bookmarkStart w:id="29" w:name="_Toc606"/>
      <w:r>
        <w:rPr>
          <w:rFonts w:hint="eastAsia" w:ascii="华文仿宋" w:hAnsi="华文仿宋" w:eastAsia="华文仿宋" w:cs="华文仿宋"/>
          <w:lang w:val="en-US" w:eastAsia="zh-CN"/>
        </w:rPr>
        <w:t>5.1第一部分 招标公告</w:t>
      </w:r>
      <w:bookmarkEnd w:id="29"/>
    </w:p>
    <w:p w14:paraId="6AFCA190">
      <w:pP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lang w:val="en-US" w:eastAsia="zh-CN"/>
        </w:rPr>
        <w:t xml:space="preserve">    </w:t>
      </w: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招标公告显示招标代理（招标代理）公告上报时生成的静态页效果，非最终版，公告发布之后会生成最新。</w:t>
      </w:r>
    </w:p>
    <w:p w14:paraId="57DD9E7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66690" cy="1695450"/>
            <wp:effectExtent l="0" t="0" r="10160" b="0"/>
            <wp:docPr id="8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3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16276"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0" w:after="140" w:line="413" w:lineRule="auto"/>
        <w:textAlignment w:val="auto"/>
        <w:rPr>
          <w:rFonts w:hint="eastAsia" w:ascii="华文仿宋" w:hAnsi="华文仿宋" w:eastAsia="华文仿宋" w:cs="华文仿宋"/>
          <w:lang w:val="en-US" w:eastAsia="zh-CN"/>
        </w:rPr>
      </w:pPr>
      <w:bookmarkStart w:id="30" w:name="_Toc12728"/>
      <w:r>
        <w:rPr>
          <w:rFonts w:hint="eastAsia" w:ascii="华文仿宋" w:hAnsi="华文仿宋" w:eastAsia="华文仿宋" w:cs="华文仿宋"/>
          <w:lang w:val="en-US" w:eastAsia="zh-CN"/>
        </w:rPr>
        <w:t>5.2第二部分 投标人须知</w:t>
      </w:r>
      <w:bookmarkEnd w:id="30"/>
    </w:p>
    <w:p w14:paraId="463284A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华文仿宋" w:hAnsi="华文仿宋" w:eastAsia="华文仿宋" w:cs="华文仿宋"/>
          <w:lang w:val="en-US" w:eastAsia="zh-CN"/>
        </w:rPr>
      </w:pPr>
      <w:r>
        <w:rPr>
          <w:rFonts w:hint="eastAsia" w:ascii="华文仿宋" w:hAnsi="华文仿宋" w:eastAsia="华文仿宋" w:cs="华文仿宋"/>
          <w:lang w:val="en-US" w:eastAsia="zh-CN"/>
        </w:rPr>
        <w:t xml:space="preserve"> </w:t>
      </w: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第二部分投标人须知分为两块内容：投标人须知前附表和投标人须知正文。</w:t>
      </w:r>
    </w:p>
    <w:p w14:paraId="7288E54C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60340" cy="2449830"/>
            <wp:effectExtent l="0" t="0" r="16510" b="7620"/>
            <wp:docPr id="168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3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44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D3AFE">
      <w:pPr>
        <w:pStyle w:val="5"/>
        <w:keepNext/>
        <w:keepLines/>
        <w:pageBreakBefore w:val="0"/>
        <w:widowControl w:val="0"/>
        <w:numPr>
          <w:ilvl w:val="0"/>
          <w:numId w:val="1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50"/>
        <w:textAlignment w:val="auto"/>
        <w:rPr>
          <w:rFonts w:hint="eastAsia" w:ascii="华文仿宋" w:hAnsi="华文仿宋" w:eastAsia="华文仿宋" w:cs="华文仿宋"/>
          <w:lang w:val="en-US" w:eastAsia="zh-CN"/>
        </w:rPr>
      </w:pPr>
      <w:r>
        <w:rPr>
          <w:rFonts w:hint="eastAsia" w:ascii="华文仿宋" w:hAnsi="华文仿宋" w:eastAsia="华文仿宋" w:cs="华文仿宋"/>
          <w:lang w:val="en-US" w:eastAsia="zh-CN"/>
        </w:rPr>
        <w:t>投标人须知前附表</w:t>
      </w:r>
    </w:p>
    <w:p w14:paraId="44C4E7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 w:ascii="华文仿宋" w:hAnsi="华文仿宋" w:eastAsia="华文仿宋" w:cs="华文仿宋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支持新增条款、新增子条款、合并条款、删除条款、导出模版、导入模版等操作。</w:t>
      </w:r>
    </w:p>
    <w:p w14:paraId="0E743449">
      <w:pPr>
        <w:keepNext w:val="0"/>
        <w:keepLines w:val="0"/>
        <w:pageBreakBefore w:val="0"/>
        <w:widowControl w:val="0"/>
        <w:numPr>
          <w:ilvl w:val="0"/>
          <w:numId w:val="14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hanging="420" w:firstLineChars="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新增条款：支持选中行上方插入或下方插入，招标人（招标代理）点击【选中行上方插入一行】或【选中行下方插入一行】既可。</w:t>
      </w:r>
    </w:p>
    <w:p w14:paraId="4461E14F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73040" cy="2433320"/>
            <wp:effectExtent l="0" t="0" r="3810" b="5080"/>
            <wp:docPr id="169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3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E637D">
      <w:pPr>
        <w:keepNext w:val="0"/>
        <w:keepLines w:val="0"/>
        <w:pageBreakBefore w:val="0"/>
        <w:widowControl w:val="0"/>
        <w:numPr>
          <w:ilvl w:val="0"/>
          <w:numId w:val="14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hanging="420" w:firstLineChars="0"/>
        <w:jc w:val="left"/>
        <w:textAlignment w:val="auto"/>
        <w:rPr>
          <w:rFonts w:hint="eastAsia" w:ascii="华文仿宋" w:hAnsi="华文仿宋" w:eastAsia="华文仿宋" w:cs="华文仿宋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新增子条款：选中要添加子项的条款，点击【选中行添加子项】按钮，既可添加子项。</w:t>
      </w:r>
    </w:p>
    <w:p w14:paraId="13933B56">
      <w:pPr>
        <w:keepNext w:val="0"/>
        <w:keepLines w:val="0"/>
        <w:pageBreakBefore w:val="0"/>
        <w:widowControl w:val="0"/>
        <w:numPr>
          <w:ilvl w:val="0"/>
          <w:numId w:val="14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hanging="420" w:firstLineChars="0"/>
        <w:jc w:val="left"/>
        <w:textAlignment w:val="auto"/>
        <w:rPr>
          <w:rFonts w:hint="eastAsia" w:ascii="华文仿宋" w:hAnsi="华文仿宋" w:eastAsia="华文仿宋" w:cs="华文仿宋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合并条款：选中要合并的条款，点击【合并选中行单元格】按钮，既可合并条款内容。</w:t>
      </w:r>
    </w:p>
    <w:p w14:paraId="4C10D983">
      <w:pPr>
        <w:keepNext w:val="0"/>
        <w:keepLines w:val="0"/>
        <w:pageBreakBefore w:val="0"/>
        <w:widowControl w:val="0"/>
        <w:numPr>
          <w:ilvl w:val="0"/>
          <w:numId w:val="14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hanging="420" w:firstLineChars="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删除条款：选中条款，点击【删除】按钮，既可删除条款。</w:t>
      </w:r>
    </w:p>
    <w:p w14:paraId="2A52AF46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73040" cy="2143125"/>
            <wp:effectExtent l="0" t="0" r="3810" b="9525"/>
            <wp:docPr id="17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3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B3606">
      <w:pPr>
        <w:keepNext w:val="0"/>
        <w:keepLines w:val="0"/>
        <w:pageBreakBefore w:val="0"/>
        <w:widowControl w:val="0"/>
        <w:numPr>
          <w:ilvl w:val="0"/>
          <w:numId w:val="14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hanging="420" w:firstLineChars="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保存、生成文件：投标人须知前附表编辑完成后，一定要记得点击保存按钮，保存后点击生成文件既可生成PDF版前附表。</w:t>
      </w:r>
    </w:p>
    <w:p w14:paraId="1926D5FF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71135" cy="2019300"/>
            <wp:effectExtent l="0" t="0" r="5715" b="0"/>
            <wp:docPr id="9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3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20D75">
      <w:pPr>
        <w:keepNext w:val="0"/>
        <w:keepLines w:val="0"/>
        <w:pageBreakBefore w:val="0"/>
        <w:widowControl w:val="0"/>
        <w:numPr>
          <w:ilvl w:val="0"/>
          <w:numId w:val="14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hanging="420" w:firstLineChars="0"/>
        <w:jc w:val="left"/>
        <w:textAlignment w:val="auto"/>
        <w:rPr>
          <w:rFonts w:hint="eastAsia" w:ascii="华文仿宋" w:hAnsi="华文仿宋" w:eastAsia="华文仿宋" w:cs="华文仿宋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查看PDF：招标人（招标代理）可点击【查看PDF】按钮，查看核对生成的前附表是否正确。</w:t>
      </w:r>
    </w:p>
    <w:p w14:paraId="597E011A">
      <w:pPr>
        <w:keepNext w:val="0"/>
        <w:keepLines w:val="0"/>
        <w:pageBreakBefore w:val="0"/>
        <w:widowControl w:val="0"/>
        <w:numPr>
          <w:ilvl w:val="0"/>
          <w:numId w:val="14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hanging="420" w:firstLineChars="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导出、导入:为方便招标人（招标代理）制作的【投标人须知前附表】能在多个项目使用，增加【投标人须知前附表】导出/导入功能，在通用模板固定内容未进行版本升级的情况下，可一直使用。 点击投标人须知前附表右上角的导出功能，选择导出模板的保存位置。</w:t>
      </w:r>
    </w:p>
    <w:p w14:paraId="3E1AAB1F">
      <w:pPr>
        <w:ind w:left="0" w:leftChars="0" w:firstLine="0" w:firstLineChars="0"/>
        <w:rPr>
          <w:rFonts w:hint="eastAsia" w:ascii="华文仿宋" w:hAnsi="华文仿宋" w:eastAsia="华文仿宋" w:cs="华文仿宋"/>
        </w:rPr>
      </w:pPr>
      <w:r>
        <w:drawing>
          <wp:inline distT="0" distB="0" distL="114300" distR="114300">
            <wp:extent cx="5269230" cy="1780540"/>
            <wp:effectExtent l="0" t="0" r="7620" b="10160"/>
            <wp:docPr id="9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3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35C2C">
      <w:pPr>
        <w:pStyle w:val="5"/>
        <w:keepNext/>
        <w:keepLines/>
        <w:pageBreakBefore w:val="0"/>
        <w:widowControl w:val="0"/>
        <w:numPr>
          <w:ilvl w:val="0"/>
          <w:numId w:val="1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50"/>
        <w:textAlignment w:val="auto"/>
        <w:rPr>
          <w:rFonts w:hint="eastAsia" w:ascii="华文仿宋" w:hAnsi="华文仿宋" w:eastAsia="华文仿宋" w:cs="华文仿宋"/>
          <w:lang w:val="en-US" w:eastAsia="zh-CN"/>
        </w:rPr>
      </w:pPr>
      <w:r>
        <w:rPr>
          <w:rFonts w:hint="eastAsia" w:ascii="华文仿宋" w:hAnsi="华文仿宋" w:eastAsia="华文仿宋" w:cs="华文仿宋"/>
          <w:lang w:val="en-US" w:eastAsia="zh-CN"/>
        </w:rPr>
        <w:t>投标人须知正文</w:t>
      </w:r>
    </w:p>
    <w:p w14:paraId="068C502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560" w:firstLineChars="200"/>
        <w:jc w:val="left"/>
        <w:textAlignment w:val="auto"/>
        <w:rPr>
          <w:rFonts w:hint="default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default" w:ascii="华文仿宋" w:hAnsi="华文仿宋" w:eastAsia="华文仿宋" w:cs="华文仿宋"/>
          <w:sz w:val="28"/>
          <w:szCs w:val="28"/>
          <w:lang w:val="en-US" w:eastAsia="zh-CN"/>
        </w:rPr>
        <w:t>投标人须知正文，系统</w:t>
      </w: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提供</w:t>
      </w:r>
      <w:r>
        <w:rPr>
          <w:rFonts w:hint="default" w:ascii="华文仿宋" w:hAnsi="华文仿宋" w:eastAsia="华文仿宋" w:cs="华文仿宋"/>
          <w:sz w:val="28"/>
          <w:szCs w:val="28"/>
          <w:lang w:val="en-US" w:eastAsia="zh-CN"/>
        </w:rPr>
        <w:t>模版</w:t>
      </w: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供代理进行选择</w:t>
      </w:r>
      <w:r>
        <w:rPr>
          <w:rFonts w:hint="default" w:ascii="华文仿宋" w:hAnsi="华文仿宋" w:eastAsia="华文仿宋" w:cs="华文仿宋"/>
          <w:sz w:val="28"/>
          <w:szCs w:val="28"/>
          <w:lang w:val="en-US" w:eastAsia="zh-CN"/>
        </w:rPr>
        <w:t>。</w:t>
      </w:r>
    </w:p>
    <w:p w14:paraId="7B486C9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jc w:val="left"/>
        <w:textAlignment w:val="auto"/>
        <w:rPr>
          <w:rFonts w:hint="eastAsia" w:ascii="Arial" w:hAnsi="Arial" w:eastAsia="宋体" w:cstheme="minorBidi"/>
          <w:b w:val="0"/>
          <w:bCs w:val="0"/>
          <w:kern w:val="2"/>
          <w:sz w:val="24"/>
          <w:szCs w:val="24"/>
          <w:lang w:val="en-US" w:eastAsia="zh-CN" w:bidi="ar-SA"/>
        </w:rPr>
      </w:pPr>
      <w:r>
        <w:drawing>
          <wp:inline distT="0" distB="0" distL="114300" distR="114300">
            <wp:extent cx="5271770" cy="1497965"/>
            <wp:effectExtent l="0" t="0" r="5080" b="6985"/>
            <wp:docPr id="17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3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49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575B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80" w:firstLineChars="200"/>
        <w:jc w:val="left"/>
        <w:textAlignment w:val="auto"/>
        <w:rPr>
          <w:rFonts w:hint="eastAsia" w:ascii="Arial" w:hAnsi="Arial" w:eastAsia="宋体" w:cstheme="minorBidi"/>
          <w:b w:val="0"/>
          <w:bCs w:val="0"/>
          <w:kern w:val="2"/>
          <w:sz w:val="24"/>
          <w:szCs w:val="24"/>
          <w:lang w:val="en-US" w:eastAsia="zh-CN" w:bidi="ar-SA"/>
        </w:rPr>
      </w:pPr>
      <w:r>
        <w:rPr>
          <w:rFonts w:hint="eastAsia" w:ascii="Arial" w:hAnsi="Arial" w:eastAsia="宋体" w:cstheme="minorBidi"/>
          <w:b w:val="0"/>
          <w:bCs w:val="0"/>
          <w:kern w:val="2"/>
          <w:sz w:val="24"/>
          <w:szCs w:val="24"/>
          <w:lang w:val="en-US" w:eastAsia="zh-CN" w:bidi="ar-SA"/>
        </w:rPr>
        <w:t>注意：前附表内容要与正文保持一致。</w:t>
      </w:r>
    </w:p>
    <w:p w14:paraId="4EE0706C"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0" w:after="140" w:line="413" w:lineRule="auto"/>
        <w:textAlignment w:val="auto"/>
        <w:rPr>
          <w:rFonts w:hint="eastAsia" w:ascii="华文仿宋" w:hAnsi="华文仿宋" w:eastAsia="华文仿宋" w:cs="华文仿宋"/>
          <w:lang w:val="en-US" w:eastAsia="zh-CN"/>
        </w:rPr>
      </w:pPr>
      <w:bookmarkStart w:id="31" w:name="_Toc10020"/>
      <w:r>
        <w:rPr>
          <w:rFonts w:hint="eastAsia" w:ascii="华文仿宋" w:hAnsi="华文仿宋" w:eastAsia="华文仿宋" w:cs="华文仿宋"/>
          <w:lang w:val="en-US" w:eastAsia="zh-CN"/>
        </w:rPr>
        <w:t>5.3第三部分 评标办法</w:t>
      </w:r>
      <w:bookmarkEnd w:id="31"/>
    </w:p>
    <w:p w14:paraId="09041FF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560" w:firstLineChars="20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由评标办法细则、项目管理班子人员配置表和评标办法前附表三部分组成。评标办法细则由评标办法正文模版和用户自定义上传文件组成；项目管理班子人员配置表由用户自定义上传；评标办法前附表通过【评标办法文件】提取内容可直接生成文件，招标人需认真检查，若发现问题及时调整。</w:t>
      </w:r>
    </w:p>
    <w:p w14:paraId="4F6FEBEF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57800" cy="2510790"/>
            <wp:effectExtent l="0" t="0" r="0" b="3810"/>
            <wp:docPr id="17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3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1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61B94"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0" w:after="140" w:line="413" w:lineRule="auto"/>
        <w:textAlignment w:val="auto"/>
        <w:rPr>
          <w:rFonts w:hint="eastAsia" w:ascii="华文仿宋" w:hAnsi="华文仿宋" w:eastAsia="华文仿宋" w:cs="华文仿宋"/>
          <w:lang w:val="en-US" w:eastAsia="zh-CN"/>
        </w:rPr>
      </w:pPr>
      <w:bookmarkStart w:id="32" w:name="_Toc1956"/>
      <w:r>
        <w:rPr>
          <w:rFonts w:hint="eastAsia" w:ascii="华文仿宋" w:hAnsi="华文仿宋" w:eastAsia="华文仿宋" w:cs="华文仿宋"/>
          <w:lang w:val="en-US" w:eastAsia="zh-CN"/>
        </w:rPr>
        <w:t>5.4第四部分 合同条款及格式</w:t>
      </w:r>
      <w:bookmarkEnd w:id="32"/>
    </w:p>
    <w:p w14:paraId="71E20962">
      <w:pP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合同条款中主要合同条款部分内容由招标人自行制定内容。其余由合同模版固定。</w:t>
      </w:r>
    </w:p>
    <w:p w14:paraId="633D2B82">
      <w:pPr>
        <w:rPr>
          <w:rFonts w:hint="default" w:ascii="华文仿宋" w:hAnsi="华文仿宋" w:eastAsia="华文仿宋" w:cs="华文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59070" cy="2001520"/>
            <wp:effectExtent l="0" t="0" r="17780" b="17780"/>
            <wp:docPr id="17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4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67F86">
      <w:pPr>
        <w:ind w:left="0" w:leftChars="0" w:firstLine="0" w:firstLineChars="0"/>
        <w:rPr>
          <w:b/>
          <w:bCs/>
        </w:rPr>
      </w:pPr>
    </w:p>
    <w:p w14:paraId="34AADE4D"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0" w:after="140" w:line="413" w:lineRule="auto"/>
        <w:textAlignment w:val="auto"/>
        <w:rPr>
          <w:rFonts w:hint="default" w:ascii="华文仿宋" w:hAnsi="华文仿宋" w:eastAsia="华文仿宋" w:cs="华文仿宋"/>
          <w:lang w:val="en-US" w:eastAsia="zh-CN"/>
        </w:rPr>
      </w:pPr>
      <w:bookmarkStart w:id="33" w:name="_Toc582"/>
      <w:r>
        <w:rPr>
          <w:rFonts w:hint="eastAsia" w:ascii="华文仿宋" w:hAnsi="华文仿宋" w:eastAsia="华文仿宋" w:cs="华文仿宋"/>
          <w:lang w:val="en-US" w:eastAsia="zh-CN"/>
        </w:rPr>
        <w:t>5.5第五部分 工程量清单</w:t>
      </w:r>
      <w:bookmarkEnd w:id="33"/>
    </w:p>
    <w:p w14:paraId="12BC6DE9">
      <w:pPr>
        <w:ind w:left="0" w:leftChars="0" w:firstLine="560" w:firstLineChars="200"/>
        <w:rPr>
          <w:rFonts w:hint="default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由工程量清单、暂列金额、规费取费标准、材料暂估价一览表四部分组成。暂列金额、规费取费标准、材料暂估价一览表由用户自定义上传；工程量清单通过【工程量清单】提取内容可直接生成文件，招标人需认真检查，若发现问题及时调整</w:t>
      </w:r>
      <w:r>
        <w:rPr>
          <w:rFonts w:hint="eastAsia" w:ascii="Arial" w:hAnsi="Arial" w:eastAsia="宋体" w:cstheme="minorBidi"/>
          <w:b w:val="0"/>
          <w:bCs w:val="0"/>
          <w:kern w:val="2"/>
          <w:sz w:val="21"/>
          <w:szCs w:val="21"/>
          <w:lang w:val="en-US" w:eastAsia="zh-CN" w:bidi="ar-SA"/>
        </w:rPr>
        <w:t>。</w:t>
      </w:r>
    </w:p>
    <w:p w14:paraId="6C5AAAE6">
      <w:pPr>
        <w:ind w:left="0" w:leftChars="0" w:firstLine="0" w:firstLineChars="0"/>
      </w:pPr>
      <w:r>
        <w:drawing>
          <wp:inline distT="0" distB="0" distL="114300" distR="114300">
            <wp:extent cx="5256530" cy="2469515"/>
            <wp:effectExtent l="0" t="0" r="1270" b="6985"/>
            <wp:docPr id="17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4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46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A5D32"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0" w:after="140" w:line="413" w:lineRule="auto"/>
        <w:textAlignment w:val="auto"/>
        <w:rPr>
          <w:rFonts w:hint="eastAsia" w:ascii="华文仿宋" w:hAnsi="华文仿宋" w:eastAsia="华文仿宋" w:cs="华文仿宋"/>
          <w:lang w:val="en-US" w:eastAsia="zh-CN"/>
        </w:rPr>
      </w:pPr>
      <w:bookmarkStart w:id="34" w:name="_Toc25260"/>
      <w:r>
        <w:rPr>
          <w:rFonts w:hint="eastAsia" w:ascii="华文仿宋" w:hAnsi="华文仿宋" w:eastAsia="华文仿宋" w:cs="华文仿宋"/>
          <w:lang w:val="en-US" w:eastAsia="zh-CN"/>
        </w:rPr>
        <w:t>5.6第六部分 图纸</w:t>
      </w:r>
      <w:bookmarkEnd w:id="34"/>
    </w:p>
    <w:p w14:paraId="514BA6D7">
      <w:pPr>
        <w:ind w:left="0" w:leftChars="0" w:firstLine="560" w:firstLineChars="20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由招标人自定义上传文件。</w:t>
      </w:r>
    </w:p>
    <w:p w14:paraId="2BC2D94A">
      <w:pPr>
        <w:ind w:left="0" w:leftChars="0" w:firstLine="420" w:firstLineChars="200"/>
      </w:pPr>
      <w:r>
        <w:drawing>
          <wp:inline distT="0" distB="0" distL="114300" distR="114300">
            <wp:extent cx="5264150" cy="1771650"/>
            <wp:effectExtent l="0" t="0" r="12700" b="0"/>
            <wp:docPr id="4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8FC58"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0" w:after="140" w:line="413" w:lineRule="auto"/>
        <w:textAlignment w:val="auto"/>
        <w:rPr>
          <w:rFonts w:hint="eastAsia" w:ascii="华文仿宋" w:hAnsi="华文仿宋" w:eastAsia="华文仿宋" w:cs="华文仿宋"/>
          <w:lang w:val="en-US" w:eastAsia="zh-CN"/>
        </w:rPr>
      </w:pPr>
      <w:bookmarkStart w:id="35" w:name="_Toc8838"/>
      <w:r>
        <w:rPr>
          <w:rFonts w:hint="eastAsia" w:ascii="华文仿宋" w:hAnsi="华文仿宋" w:eastAsia="华文仿宋" w:cs="华文仿宋"/>
          <w:lang w:val="en-US" w:eastAsia="zh-CN"/>
        </w:rPr>
        <w:t>5.7第七部分 技术标准和要求</w:t>
      </w:r>
      <w:bookmarkEnd w:id="35"/>
    </w:p>
    <w:p w14:paraId="330A5B45">
      <w:pPr>
        <w:ind w:left="0" w:leftChars="0" w:firstLine="560" w:firstLineChars="20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由招标人自定义上传文件。</w:t>
      </w:r>
    </w:p>
    <w:p w14:paraId="177C455A">
      <w:pPr>
        <w:ind w:left="0" w:leftChars="0" w:firstLine="420" w:firstLineChars="20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3515" cy="1937385"/>
            <wp:effectExtent l="0" t="0" r="13335" b="5715"/>
            <wp:docPr id="4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3AD45"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0" w:after="140" w:line="413" w:lineRule="auto"/>
        <w:textAlignment w:val="auto"/>
        <w:rPr>
          <w:rFonts w:hint="eastAsia" w:ascii="Arial" w:hAnsi="Arial" w:eastAsia="宋体" w:cstheme="minorBidi"/>
          <w:b w:val="0"/>
          <w:bCs w:val="0"/>
          <w:kern w:val="2"/>
          <w:sz w:val="21"/>
          <w:szCs w:val="21"/>
          <w:lang w:val="en-US" w:eastAsia="zh-CN" w:bidi="ar-SA"/>
        </w:rPr>
      </w:pPr>
      <w:bookmarkStart w:id="36" w:name="_Toc2563"/>
      <w:r>
        <w:rPr>
          <w:rFonts w:hint="eastAsia" w:ascii="华文仿宋" w:hAnsi="华文仿宋" w:eastAsia="华文仿宋" w:cs="华文仿宋"/>
          <w:lang w:val="en-US" w:eastAsia="zh-CN"/>
        </w:rPr>
        <w:t>5.</w:t>
      </w:r>
      <w:bookmarkStart w:id="37" w:name="_Toc13738"/>
      <w:r>
        <w:rPr>
          <w:rFonts w:hint="eastAsia" w:ascii="华文仿宋" w:hAnsi="华文仿宋" w:eastAsia="华文仿宋" w:cs="华文仿宋"/>
          <w:lang w:val="en-US" w:eastAsia="zh-CN"/>
        </w:rPr>
        <w:t>8第*章：自行增加新章节</w:t>
      </w:r>
      <w:bookmarkEnd w:id="36"/>
      <w:bookmarkEnd w:id="37"/>
      <w:r>
        <w:rPr>
          <w:rFonts w:hint="eastAsia" w:ascii="Arial" w:hAnsi="Arial" w:eastAsia="宋体" w:cstheme="minorBidi"/>
          <w:b w:val="0"/>
          <w:bCs w:val="0"/>
          <w:kern w:val="2"/>
          <w:sz w:val="21"/>
          <w:szCs w:val="21"/>
          <w:lang w:val="en-US" w:eastAsia="zh-CN" w:bidi="ar-SA"/>
        </w:rPr>
        <w:t xml:space="preserve"> </w:t>
      </w:r>
    </w:p>
    <w:p w14:paraId="083AAE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560" w:firstLineChars="200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default" w:ascii="华文仿宋" w:hAnsi="华文仿宋" w:eastAsia="华文仿宋" w:cs="华文仿宋"/>
          <w:sz w:val="28"/>
          <w:szCs w:val="28"/>
          <w:lang w:val="en-US" w:eastAsia="zh-CN"/>
        </w:rPr>
        <w:t>系统灵活支持招标</w:t>
      </w: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代理</w:t>
      </w:r>
      <w:r>
        <w:rPr>
          <w:rFonts w:hint="default" w:ascii="华文仿宋" w:hAnsi="华文仿宋" w:eastAsia="华文仿宋" w:cs="华文仿宋"/>
          <w:sz w:val="28"/>
          <w:szCs w:val="28"/>
          <w:lang w:val="en-US" w:eastAsia="zh-CN"/>
        </w:rPr>
        <w:t>按需增设章节，实现个性化定制</w:t>
      </w: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。</w:t>
      </w:r>
    </w:p>
    <w:p w14:paraId="636413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560" w:firstLineChars="200"/>
        <w:textAlignment w:val="auto"/>
        <w:rPr>
          <w:rFonts w:hint="default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1、招标代理可点击【新增】按钮，录入章节序号（请填写阿拉伯数字，系统会自动转换成汉字）和章节名称，录入成功后点击【保存】按钮。保存之后章节会自动生成在左侧目录中。</w:t>
      </w:r>
    </w:p>
    <w:p w14:paraId="59927145">
      <w:pPr>
        <w:ind w:left="0" w:leftChars="0" w:firstLine="0" w:firstLineChars="0"/>
        <w:rPr>
          <w:b/>
          <w:bCs/>
        </w:rPr>
      </w:pPr>
      <w:r>
        <w:drawing>
          <wp:inline distT="0" distB="0" distL="114300" distR="114300">
            <wp:extent cx="5264150" cy="1183640"/>
            <wp:effectExtent l="0" t="0" r="12700" b="16510"/>
            <wp:docPr id="17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4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89D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2、招标代理可在新增章节完成后，上传章节内容既可。</w:t>
      </w:r>
    </w:p>
    <w:p w14:paraId="3A3EDF98"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0" w:after="140" w:line="413" w:lineRule="auto"/>
        <w:textAlignment w:val="auto"/>
        <w:rPr>
          <w:rFonts w:hint="eastAsia" w:ascii="Arial" w:hAnsi="Arial" w:eastAsia="宋体" w:cstheme="minorBidi"/>
          <w:b w:val="0"/>
          <w:bCs w:val="0"/>
          <w:kern w:val="2"/>
          <w:sz w:val="21"/>
          <w:szCs w:val="21"/>
          <w:lang w:val="en-US" w:eastAsia="zh-CN" w:bidi="ar-SA"/>
        </w:rPr>
      </w:pPr>
      <w:bookmarkStart w:id="38" w:name="_Toc16352"/>
      <w:r>
        <w:rPr>
          <w:rFonts w:hint="eastAsia" w:ascii="华文仿宋" w:hAnsi="华文仿宋" w:eastAsia="华文仿宋" w:cs="华文仿宋"/>
          <w:lang w:val="en-US" w:eastAsia="zh-CN"/>
        </w:rPr>
        <w:t>5.9第*章：投标文件格式</w:t>
      </w:r>
      <w:bookmarkEnd w:id="38"/>
    </w:p>
    <w:p w14:paraId="453ED5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 w:firstLine="560" w:firstLineChars="200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投标文件格式由两部分组成，分别是招标文件格式模版、其他材料。招标代理自定义部分点击【选择文件】按钮进行上传，系统自动组装。</w:t>
      </w:r>
    </w:p>
    <w:p w14:paraId="165D4F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 w:firstLine="560" w:firstLineChars="200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  <w:t>注意：上传文件请删除页码格式，否则会影响招标文件合并后的目录页码。</w:t>
      </w:r>
    </w:p>
    <w:p w14:paraId="69826D21">
      <w:pPr>
        <w:ind w:left="0" w:leftChars="0" w:firstLine="0" w:firstLineChars="0"/>
        <w:rPr>
          <w:b/>
          <w:bCs/>
        </w:rPr>
      </w:pPr>
      <w:r>
        <w:drawing>
          <wp:inline distT="0" distB="0" distL="114300" distR="114300">
            <wp:extent cx="5271770" cy="1796415"/>
            <wp:effectExtent l="0" t="0" r="5080" b="13335"/>
            <wp:docPr id="17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4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7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39D02"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40" w:after="140" w:line="413" w:lineRule="auto"/>
        <w:textAlignment w:val="auto"/>
        <w:rPr>
          <w:rFonts w:hint="default" w:ascii="Arial" w:hAnsi="Arial" w:eastAsia="宋体" w:cstheme="minorBidi"/>
          <w:b w:val="0"/>
          <w:bCs w:val="0"/>
          <w:kern w:val="2"/>
          <w:sz w:val="21"/>
          <w:szCs w:val="21"/>
          <w:lang w:val="en-US" w:eastAsia="zh-CN" w:bidi="ar-SA"/>
        </w:rPr>
      </w:pPr>
      <w:bookmarkStart w:id="39" w:name="_Toc29952"/>
      <w:r>
        <w:rPr>
          <w:rFonts w:hint="eastAsia" w:ascii="华文仿宋" w:hAnsi="华文仿宋" w:eastAsia="华文仿宋" w:cs="华文仿宋"/>
          <w:lang w:val="en-US" w:eastAsia="zh-CN"/>
        </w:rPr>
        <w:t>5.10其他文件</w:t>
      </w:r>
      <w:bookmarkEnd w:id="39"/>
    </w:p>
    <w:p w14:paraId="32206A67">
      <w:pPr>
        <w:pStyle w:val="22"/>
        <w:bidi w:val="0"/>
        <w:jc w:val="left"/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 xml:space="preserve">     若招标代理对招标文件还有其他补充文件需要上传，可以在【招标文件】的【其他文件】中进行上传。</w:t>
      </w:r>
    </w:p>
    <w:p w14:paraId="2A9C2887">
      <w:pPr>
        <w:ind w:left="0" w:leftChars="0" w:firstLine="0" w:firstLineChars="0"/>
      </w:pPr>
      <w:r>
        <w:drawing>
          <wp:inline distT="0" distB="0" distL="114300" distR="114300">
            <wp:extent cx="5263515" cy="1406525"/>
            <wp:effectExtent l="0" t="0" r="13335" b="3175"/>
            <wp:docPr id="177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4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40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B0949">
      <w:pPr>
        <w:pStyle w:val="3"/>
        <w:numPr>
          <w:ilvl w:val="1"/>
          <w:numId w:val="0"/>
        </w:numPr>
        <w:bidi w:val="0"/>
        <w:ind w:leftChars="0"/>
        <w:rPr>
          <w:rFonts w:hint="default" w:ascii="华文仿宋" w:hAnsi="华文仿宋" w:eastAsia="华文仿宋" w:cs="华文仿宋"/>
          <w:lang w:val="en-US" w:eastAsia="zh-CN"/>
        </w:rPr>
      </w:pPr>
      <w:bookmarkStart w:id="40" w:name="_Toc15981"/>
      <w:r>
        <w:rPr>
          <w:rFonts w:hint="eastAsia" w:ascii="华文仿宋" w:hAnsi="华文仿宋" w:eastAsia="华文仿宋" w:cs="华文仿宋"/>
          <w:lang w:val="en-US" w:eastAsia="zh-CN"/>
        </w:rPr>
        <w:t>（六）文件汇总</w:t>
      </w:r>
      <w:bookmarkEnd w:id="40"/>
    </w:p>
    <w:p w14:paraId="5A28B9BC">
      <w:pP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rPr>
          <w:rFonts w:hint="eastAsia" w:ascii="Arial" w:hAnsi="Arial" w:eastAsia="宋体" w:cstheme="minorBidi"/>
          <w:b w:val="0"/>
          <w:bCs w:val="0"/>
          <w:kern w:val="2"/>
          <w:sz w:val="21"/>
          <w:szCs w:val="21"/>
          <w:lang w:val="en-US" w:eastAsia="zh-CN" w:bidi="ar-SA"/>
        </w:rPr>
        <w:t xml:space="preserve">  </w:t>
      </w: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 xml:space="preserve"> 招标人将招标文件所有内容编制完成后，可点击【文件汇总】查看所有附件生成时间、生成状态、预览生成文件，生成文件检查无误后，可进行整个招标文件提交。</w:t>
      </w:r>
    </w:p>
    <w:p w14:paraId="701427B6">
      <w:r>
        <w:drawing>
          <wp:inline distT="0" distB="0" distL="114300" distR="114300">
            <wp:extent cx="5269230" cy="2009140"/>
            <wp:effectExtent l="0" t="0" r="7620" b="10160"/>
            <wp:docPr id="178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4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0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B63AA">
      <w:pPr>
        <w:pStyle w:val="3"/>
        <w:numPr>
          <w:ilvl w:val="1"/>
          <w:numId w:val="0"/>
        </w:numPr>
        <w:bidi w:val="0"/>
        <w:ind w:leftChars="0"/>
        <w:rPr>
          <w:rFonts w:hint="eastAsia" w:eastAsia="宋体"/>
          <w:lang w:val="en-US" w:eastAsia="zh-CN"/>
        </w:rPr>
      </w:pPr>
      <w:bookmarkStart w:id="41" w:name="_Toc8432"/>
      <w:r>
        <w:rPr>
          <w:rFonts w:hint="eastAsia" w:ascii="华文仿宋" w:hAnsi="华文仿宋" w:eastAsia="华文仿宋" w:cs="华文仿宋"/>
          <w:lang w:val="en-US" w:eastAsia="zh-CN"/>
        </w:rPr>
        <w:t>（七）发布公告</w:t>
      </w:r>
      <w:bookmarkEnd w:id="41"/>
    </w:p>
    <w:p w14:paraId="4E5589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60" w:lineRule="exact"/>
        <w:ind w:left="0" w:leftChars="0" w:firstLine="560" w:firstLineChars="200"/>
        <w:jc w:val="left"/>
        <w:textAlignment w:val="auto"/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1、点击“发布公告”按钮，可以预览查看招标公告详细信息。</w:t>
      </w:r>
    </w:p>
    <w:p w14:paraId="107ED5F3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left="0" w:leftChars="0" w:firstLine="0" w:firstLineChars="0"/>
        <w:rPr>
          <w:rFonts w:hint="eastAsia"/>
          <w:sz w:val="21"/>
          <w:szCs w:val="21"/>
          <w:lang w:eastAsia="zh-CN"/>
        </w:rPr>
      </w:pPr>
      <w:r>
        <w:drawing>
          <wp:inline distT="0" distB="0" distL="114300" distR="114300">
            <wp:extent cx="5269230" cy="2246630"/>
            <wp:effectExtent l="0" t="0" r="7620" b="1270"/>
            <wp:docPr id="1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4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57F38">
      <w:pPr>
        <w:pStyle w:val="22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before="156" w:after="156"/>
        <w:ind w:firstLine="240" w:firstLineChars="100"/>
        <w:jc w:val="both"/>
        <w:rPr>
          <w:rFonts w:hint="eastAsia"/>
          <w:color w:val="FF0000"/>
          <w:sz w:val="24"/>
          <w:szCs w:val="24"/>
          <w:lang w:eastAsia="zh-CN"/>
        </w:rPr>
      </w:pPr>
      <w:r>
        <w:rPr>
          <w:rFonts w:hint="eastAsia"/>
          <w:color w:val="FF0000"/>
          <w:sz w:val="24"/>
          <w:szCs w:val="24"/>
          <w:lang w:eastAsia="zh-CN"/>
        </w:rPr>
        <w:t>注：</w:t>
      </w:r>
    </w:p>
    <w:p w14:paraId="309B5966">
      <w:pPr>
        <w:pStyle w:val="22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before="156" w:after="156"/>
        <w:ind w:firstLine="240" w:firstLineChars="100"/>
        <w:jc w:val="both"/>
        <w:rPr>
          <w:rFonts w:hint="eastAsia"/>
          <w:color w:val="FF0000"/>
          <w:sz w:val="24"/>
          <w:szCs w:val="24"/>
          <w:lang w:val="en-US" w:eastAsia="zh-CN"/>
        </w:rPr>
      </w:pPr>
      <w:r>
        <w:rPr>
          <w:rFonts w:hint="eastAsia"/>
          <w:color w:val="FF0000"/>
          <w:sz w:val="24"/>
          <w:szCs w:val="24"/>
          <w:lang w:val="en-US" w:eastAsia="zh-CN"/>
        </w:rPr>
        <w:t>1）、</w:t>
      </w:r>
      <w:r>
        <w:rPr>
          <w:rFonts w:hint="eastAsia"/>
          <w:color w:val="FF0000"/>
          <w:sz w:val="24"/>
          <w:szCs w:val="24"/>
          <w:lang w:eastAsia="zh-CN"/>
        </w:rPr>
        <w:t>提交审核前需先完成</w:t>
      </w:r>
      <w:r>
        <w:rPr>
          <w:rFonts w:hint="eastAsia"/>
          <w:color w:val="FF0000"/>
          <w:sz w:val="24"/>
          <w:szCs w:val="24"/>
          <w:lang w:val="en-US" w:eastAsia="zh-CN"/>
        </w:rPr>
        <w:t>公告签章、PDF招标文件签章和ztbml招标文件的生成；</w:t>
      </w:r>
    </w:p>
    <w:p w14:paraId="60B4ACB2">
      <w:pPr>
        <w:pStyle w:val="22"/>
        <w:pageBreakBefore w:val="0"/>
        <w:widowControl w:val="0"/>
        <w:numPr>
          <w:ilvl w:val="0"/>
          <w:numId w:val="0"/>
        </w:numPr>
        <w:kinsoku/>
        <w:wordWrap/>
        <w:overflowPunct/>
        <w:autoSpaceDE/>
        <w:autoSpaceDN/>
        <w:bidi w:val="0"/>
        <w:adjustRightInd/>
        <w:snapToGrid/>
        <w:spacing w:before="156" w:after="156"/>
        <w:ind w:firstLine="240" w:firstLineChars="100"/>
        <w:jc w:val="both"/>
        <w:rPr>
          <w:rFonts w:hint="eastAsia"/>
          <w:color w:val="FF0000"/>
          <w:sz w:val="24"/>
          <w:szCs w:val="24"/>
          <w:lang w:val="en-US" w:eastAsia="zh-CN"/>
        </w:rPr>
      </w:pPr>
      <w:r>
        <w:rPr>
          <w:rFonts w:hint="eastAsia"/>
          <w:color w:val="FF0000"/>
          <w:sz w:val="24"/>
          <w:szCs w:val="24"/>
          <w:lang w:val="en-US" w:eastAsia="zh-CN"/>
        </w:rPr>
        <w:t>2）、生成ztbml招标文件前需先提交招标文件。</w:t>
      </w:r>
    </w:p>
    <w:p w14:paraId="08289A4F">
      <w:pPr>
        <w:pStyle w:val="22"/>
        <w:pageBreakBefore w:val="0"/>
        <w:widowControl w:val="0"/>
        <w:numPr>
          <w:ilvl w:val="0"/>
          <w:numId w:val="0"/>
        </w:numPr>
        <w:kinsoku/>
        <w:wordWrap/>
        <w:overflowPunct/>
        <w:autoSpaceDE/>
        <w:autoSpaceDN/>
        <w:bidi w:val="0"/>
        <w:adjustRightInd/>
        <w:snapToGrid/>
        <w:spacing w:before="156" w:after="156"/>
        <w:ind w:firstLine="240" w:firstLineChars="100"/>
        <w:jc w:val="both"/>
        <w:rPr>
          <w:rFonts w:hint="default"/>
          <w:color w:val="FF0000"/>
          <w:sz w:val="24"/>
          <w:szCs w:val="24"/>
          <w:lang w:val="en-US" w:eastAsia="zh-CN"/>
        </w:rPr>
      </w:pPr>
      <w:r>
        <w:rPr>
          <w:rFonts w:hint="eastAsia"/>
          <w:color w:val="FF0000"/>
          <w:sz w:val="24"/>
          <w:szCs w:val="24"/>
          <w:lang w:val="en-US" w:eastAsia="zh-CN"/>
        </w:rPr>
        <w:t>3）、公告与招标文件签章后，需等待招标人签章审核通过后公告才见网。</w:t>
      </w:r>
    </w:p>
    <w:p w14:paraId="22F806A2">
      <w:pPr>
        <w:pStyle w:val="22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before="156" w:after="156"/>
        <w:jc w:val="both"/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2、点击“招标文件”按钮。进入招标文件生成页面。</w:t>
      </w:r>
    </w:p>
    <w:p w14:paraId="7A316498">
      <w:pPr>
        <w:pStyle w:val="22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before="156" w:after="156"/>
        <w:jc w:val="both"/>
        <w:rPr>
          <w:sz w:val="21"/>
          <w:szCs w:val="21"/>
        </w:rPr>
      </w:pPr>
      <w:r>
        <w:drawing>
          <wp:inline distT="0" distB="0" distL="114300" distR="114300">
            <wp:extent cx="5267325" cy="2033905"/>
            <wp:effectExtent l="0" t="0" r="9525" b="4445"/>
            <wp:docPr id="5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3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94874">
      <w:pPr>
        <w:pStyle w:val="22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before="156" w:after="156"/>
        <w:jc w:val="both"/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3、点击“重新签章”获取最新PDF招标文件进行签章，点击“生成文件”生成ztbml招标文件。</w:t>
      </w:r>
    </w:p>
    <w:p w14:paraId="743B542D">
      <w:pPr>
        <w:pStyle w:val="22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before="156" w:after="156"/>
        <w:jc w:val="both"/>
        <w:rPr>
          <w:sz w:val="21"/>
          <w:szCs w:val="21"/>
        </w:rPr>
      </w:pPr>
      <w:r>
        <w:drawing>
          <wp:inline distT="0" distB="0" distL="114300" distR="114300">
            <wp:extent cx="5273675" cy="2006600"/>
            <wp:effectExtent l="0" t="0" r="3175" b="12700"/>
            <wp:docPr id="61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F69F5">
      <w:pPr>
        <w:pStyle w:val="22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before="156" w:after="156"/>
        <w:jc w:val="both"/>
        <w:rPr>
          <w:rFonts w:hint="default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4、招标文件（pdf版）生成成功和生成ztbml招标文件后，点击提交“提交”按钮，提交招标公告和招标文件至招标人审核。</w:t>
      </w:r>
    </w:p>
    <w:p w14:paraId="73C5F5A4">
      <w:pPr>
        <w:pStyle w:val="22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before="156" w:after="156"/>
        <w:jc w:val="both"/>
        <w:rPr>
          <w:sz w:val="21"/>
          <w:szCs w:val="21"/>
        </w:rPr>
      </w:pPr>
      <w:r>
        <w:drawing>
          <wp:inline distT="0" distB="0" distL="114300" distR="114300">
            <wp:extent cx="5260340" cy="2356485"/>
            <wp:effectExtent l="0" t="0" r="16510" b="5715"/>
            <wp:docPr id="62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5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9EDD7">
      <w:pPr>
        <w:pStyle w:val="2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after="156"/>
        <w:ind w:firstLine="560" w:firstLineChars="200"/>
        <w:jc w:val="both"/>
        <w:textAlignment w:val="auto"/>
        <w:rPr>
          <w:rFonts w:hint="eastAsia" w:eastAsia="宋体"/>
          <w:lang w:val="en-US" w:eastAsia="zh-CN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代理未提交招标公告，招标公告之前的节点（招标文件、场地预约、招标公告）可以重新修改编辑；代理提交招标公告后，之前的节点不可修改，需要等待招标人审核；招标人审核通过后，若有更改需求，需要通过发布澄清更改要修改的内容。</w:t>
      </w:r>
    </w:p>
    <w:p w14:paraId="7F89EDA5">
      <w:pPr>
        <w:rPr>
          <w:rFonts w:hint="eastAsia" w:eastAsia="宋体"/>
          <w:lang w:val="en-US" w:eastAsia="zh-CN"/>
        </w:rPr>
      </w:pPr>
    </w:p>
    <w:p w14:paraId="746E7944">
      <w:pPr>
        <w:pStyle w:val="2"/>
        <w:numPr>
          <w:ilvl w:val="0"/>
          <w:numId w:val="0"/>
        </w:numPr>
        <w:bidi w:val="0"/>
        <w:ind w:leftChars="0"/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</w:pPr>
      <w:bookmarkStart w:id="42" w:name="_Toc4471"/>
      <w:r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  <w:t>十、变更公告</w:t>
      </w:r>
      <w:bookmarkEnd w:id="42"/>
    </w:p>
    <w:p w14:paraId="7E286C37">
      <w:pPr>
        <w:pStyle w:val="3"/>
        <w:numPr>
          <w:ilvl w:val="1"/>
          <w:numId w:val="0"/>
        </w:numPr>
        <w:bidi w:val="0"/>
        <w:ind w:left="-141" w:leftChars="0"/>
        <w:rPr>
          <w:rFonts w:hint="eastAsia" w:ascii="华文仿宋" w:hAnsi="华文仿宋" w:eastAsia="华文仿宋" w:cs="华文仿宋"/>
          <w:lang w:val="en-US" w:eastAsia="zh-CN"/>
        </w:rPr>
      </w:pPr>
      <w:bookmarkStart w:id="43" w:name="_Toc14942"/>
      <w:r>
        <w:rPr>
          <w:rFonts w:hint="eastAsia" w:ascii="华文仿宋" w:hAnsi="华文仿宋" w:eastAsia="华文仿宋" w:cs="华文仿宋"/>
          <w:lang w:val="en-US" w:eastAsia="zh-CN"/>
        </w:rPr>
        <w:t>（一）功能介绍</w:t>
      </w:r>
      <w:bookmarkEnd w:id="43"/>
    </w:p>
    <w:p w14:paraId="7B37EB62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招标代理通过业务变更发布变更公告（变更不影响评标内容）。</w:t>
      </w:r>
    </w:p>
    <w:p w14:paraId="1C06BE8B">
      <w:pPr>
        <w:pStyle w:val="3"/>
        <w:numPr>
          <w:ilvl w:val="1"/>
          <w:numId w:val="0"/>
        </w:numPr>
        <w:bidi w:val="0"/>
        <w:ind w:left="-141" w:leftChars="0"/>
        <w:rPr>
          <w:rFonts w:hint="eastAsia" w:ascii="华文仿宋" w:hAnsi="华文仿宋" w:eastAsia="华文仿宋" w:cs="华文仿宋"/>
          <w:lang w:val="en-US" w:eastAsia="zh-CN"/>
        </w:rPr>
      </w:pPr>
      <w:bookmarkStart w:id="44" w:name="_Toc18467"/>
      <w:r>
        <w:rPr>
          <w:rFonts w:hint="eastAsia" w:ascii="华文仿宋" w:hAnsi="华文仿宋" w:eastAsia="华文仿宋" w:cs="华文仿宋"/>
          <w:lang w:val="en-US" w:eastAsia="zh-CN"/>
        </w:rPr>
        <w:t>（二）具体操作</w:t>
      </w:r>
      <w:bookmarkEnd w:id="44"/>
    </w:p>
    <w:p w14:paraId="782910A0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1、招标代理点击右侧“业务变更”菜单，点击“变更公告”模块。</w:t>
      </w:r>
    </w:p>
    <w:p w14:paraId="0AEE87DF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left="0" w:leftChars="0" w:firstLine="0" w:firstLineChars="0"/>
        <w:rPr>
          <w:sz w:val="21"/>
          <w:szCs w:val="21"/>
        </w:rPr>
      </w:pPr>
      <w:r>
        <w:drawing>
          <wp:inline distT="0" distB="0" distL="114300" distR="114300">
            <wp:extent cx="5271135" cy="1638300"/>
            <wp:effectExtent l="0" t="0" r="5715" b="0"/>
            <wp:docPr id="3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66E5B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2、招标代理点击右侧“编辑”按钮，录入变更内容。</w:t>
      </w:r>
    </w:p>
    <w:p w14:paraId="1D3D166D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</w:pPr>
      <w:r>
        <w:drawing>
          <wp:inline distT="0" distB="0" distL="114300" distR="114300">
            <wp:extent cx="5269865" cy="2303145"/>
            <wp:effectExtent l="0" t="0" r="6985" b="1905"/>
            <wp:docPr id="115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5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0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E3A15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3、招标代理完善澄清内容和附件进行变更内容。</w:t>
      </w:r>
    </w:p>
    <w:p w14:paraId="06408998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</w:pPr>
      <w:r>
        <w:drawing>
          <wp:inline distT="0" distB="0" distL="114300" distR="114300">
            <wp:extent cx="5266690" cy="1974215"/>
            <wp:effectExtent l="0" t="0" r="0" b="0"/>
            <wp:docPr id="116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58"/>
                    <pic:cNvPicPr>
                      <a:picLocks noChangeAspect="1"/>
                    </pic:cNvPicPr>
                  </pic:nvPicPr>
                  <pic:blipFill>
                    <a:blip r:embed="rId73"/>
                    <a:srcRect b="22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4DADE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4、点击“浏览”按钮，预览变更内容效果页面。</w:t>
      </w:r>
    </w:p>
    <w:p w14:paraId="2C8EDB3C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</w:pPr>
      <w:r>
        <w:drawing>
          <wp:inline distT="0" distB="0" distL="114300" distR="114300">
            <wp:extent cx="5271135" cy="2028825"/>
            <wp:effectExtent l="0" t="0" r="5715" b="9525"/>
            <wp:docPr id="117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5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158C0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5、点击“提交”按钮，将要变更内容进行内容提交。</w:t>
      </w:r>
    </w:p>
    <w:p w14:paraId="2C2346ED">
      <w:pPr>
        <w:pStyle w:val="2"/>
        <w:numPr>
          <w:ilvl w:val="0"/>
          <w:numId w:val="0"/>
        </w:numPr>
        <w:bidi w:val="0"/>
        <w:ind w:leftChars="0"/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</w:pPr>
      <w:bookmarkStart w:id="45" w:name="_Toc23962"/>
      <w:r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  <w:t>十一、澄清公告</w:t>
      </w:r>
      <w:bookmarkEnd w:id="45"/>
    </w:p>
    <w:p w14:paraId="710E7DBE">
      <w:pPr>
        <w:pStyle w:val="3"/>
        <w:numPr>
          <w:ilvl w:val="1"/>
          <w:numId w:val="0"/>
        </w:numPr>
        <w:bidi w:val="0"/>
        <w:ind w:left="-141" w:leftChars="0"/>
        <w:rPr>
          <w:rFonts w:hint="eastAsia" w:ascii="华文仿宋" w:hAnsi="华文仿宋" w:eastAsia="华文仿宋" w:cs="华文仿宋"/>
          <w:lang w:val="en-US" w:eastAsia="zh-CN"/>
        </w:rPr>
      </w:pPr>
      <w:bookmarkStart w:id="46" w:name="_Toc6224"/>
      <w:r>
        <w:rPr>
          <w:rFonts w:hint="eastAsia" w:ascii="华文仿宋" w:hAnsi="华文仿宋" w:eastAsia="华文仿宋" w:cs="华文仿宋"/>
          <w:lang w:val="en-US" w:eastAsia="zh-CN"/>
        </w:rPr>
        <w:t>（一）功能介绍</w:t>
      </w:r>
      <w:bookmarkEnd w:id="46"/>
    </w:p>
    <w:p w14:paraId="37AA716D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招标代理通过业务变更发布澄清公告（澄清内容会影响到评标，项目距离开标时间不符合法规要求，需延期开标）。</w:t>
      </w:r>
    </w:p>
    <w:p w14:paraId="28B8FD63">
      <w:pPr>
        <w:pStyle w:val="3"/>
        <w:numPr>
          <w:ilvl w:val="1"/>
          <w:numId w:val="0"/>
        </w:numPr>
        <w:bidi w:val="0"/>
        <w:ind w:left="-141" w:leftChars="0"/>
        <w:rPr>
          <w:rFonts w:hint="eastAsia" w:ascii="华文仿宋" w:hAnsi="华文仿宋" w:eastAsia="华文仿宋" w:cs="华文仿宋"/>
          <w:lang w:val="en-US" w:eastAsia="zh-CN"/>
        </w:rPr>
      </w:pPr>
      <w:bookmarkStart w:id="47" w:name="_Toc4237"/>
      <w:r>
        <w:rPr>
          <w:rFonts w:hint="eastAsia" w:ascii="华文仿宋" w:hAnsi="华文仿宋" w:eastAsia="华文仿宋" w:cs="华文仿宋"/>
          <w:lang w:val="en-US" w:eastAsia="zh-CN"/>
        </w:rPr>
        <w:t>（二）具体操作</w:t>
      </w:r>
      <w:bookmarkEnd w:id="47"/>
    </w:p>
    <w:p w14:paraId="0645232A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1、招标代理点击右侧“业务变更”菜单，点击“澄清公告”模块。</w:t>
      </w:r>
    </w:p>
    <w:p w14:paraId="2CCCF326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left="0" w:leftChars="0" w:firstLine="0" w:firstLineChars="0"/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drawing>
          <wp:inline distT="0" distB="0" distL="114300" distR="114300">
            <wp:extent cx="5260340" cy="1588135"/>
            <wp:effectExtent l="0" t="0" r="16510" b="12065"/>
            <wp:docPr id="3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3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158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32D48">
      <w:pPr>
        <w:pageBreakBefore w:val="0"/>
        <w:widowControl w:val="0"/>
        <w:numPr>
          <w:ilvl w:val="0"/>
          <w:numId w:val="13"/>
        </w:numPr>
        <w:kinsoku/>
        <w:wordWrap/>
        <w:overflowPunct/>
        <w:autoSpaceDE/>
        <w:autoSpaceDN/>
        <w:bidi w:val="0"/>
        <w:adjustRightInd/>
        <w:snapToGrid/>
        <w:ind w:left="0" w:leftChars="0" w:firstLine="560" w:firstLineChars="200"/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招标代理点击右侧“新增”按钮，新增澄清内容。</w:t>
      </w:r>
    </w:p>
    <w:p w14:paraId="193E765A">
      <w:pPr>
        <w:pageBreakBefore w:val="0"/>
        <w:widowControl w:val="0"/>
        <w:numPr>
          <w:ilvl w:val="0"/>
          <w:numId w:val="0"/>
        </w:numPr>
        <w:kinsoku/>
        <w:wordWrap/>
        <w:overflowPunct/>
        <w:autoSpaceDE/>
        <w:autoSpaceDN/>
        <w:bidi w:val="0"/>
        <w:adjustRightInd/>
        <w:snapToGrid/>
      </w:pPr>
      <w:r>
        <w:drawing>
          <wp:inline distT="0" distB="0" distL="114300" distR="114300">
            <wp:extent cx="5264785" cy="2488565"/>
            <wp:effectExtent l="0" t="0" r="12065" b="6985"/>
            <wp:docPr id="2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8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0E679">
      <w:pPr>
        <w:pageBreakBefore w:val="0"/>
        <w:widowControl w:val="0"/>
        <w:numPr>
          <w:ilvl w:val="0"/>
          <w:numId w:val="13"/>
        </w:numPr>
        <w:kinsoku/>
        <w:wordWrap/>
        <w:overflowPunct/>
        <w:autoSpaceDE/>
        <w:autoSpaceDN/>
        <w:bidi w:val="0"/>
        <w:adjustRightInd/>
        <w:snapToGrid/>
        <w:ind w:left="0" w:leftChars="0" w:firstLine="560" w:firstLineChars="200"/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招标代理勾选“标段”，新增澄清内容。</w:t>
      </w:r>
    </w:p>
    <w:p w14:paraId="6F9C075E">
      <w:pPr>
        <w:pageBreakBefore w:val="0"/>
        <w:widowControl w:val="0"/>
        <w:numPr>
          <w:ilvl w:val="0"/>
          <w:numId w:val="0"/>
        </w:numPr>
        <w:kinsoku/>
        <w:wordWrap/>
        <w:overflowPunct/>
        <w:autoSpaceDE/>
        <w:autoSpaceDN/>
        <w:bidi w:val="0"/>
        <w:adjustRightInd/>
        <w:snapToGrid/>
      </w:pPr>
      <w:r>
        <w:drawing>
          <wp:inline distT="0" distB="0" distL="114300" distR="114300">
            <wp:extent cx="5267325" cy="2317115"/>
            <wp:effectExtent l="0" t="0" r="9525" b="6985"/>
            <wp:docPr id="124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6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2C055">
      <w:pPr>
        <w:pageBreakBefore w:val="0"/>
        <w:widowControl w:val="0"/>
        <w:numPr>
          <w:ilvl w:val="0"/>
          <w:numId w:val="13"/>
        </w:numPr>
        <w:kinsoku/>
        <w:wordWrap/>
        <w:overflowPunct/>
        <w:autoSpaceDE/>
        <w:autoSpaceDN/>
        <w:bidi w:val="0"/>
        <w:adjustRightInd/>
        <w:snapToGrid/>
        <w:ind w:left="0" w:leftChars="0" w:firstLine="560" w:firstLineChars="200"/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招标代理新增成功后，在澄清公告页面点击“编辑”按钮完善澄清内容。</w:t>
      </w:r>
    </w:p>
    <w:p w14:paraId="7811E2DC">
      <w:pPr>
        <w:pageBreakBefore w:val="0"/>
        <w:widowControl w:val="0"/>
        <w:numPr>
          <w:ilvl w:val="0"/>
          <w:numId w:val="13"/>
        </w:numPr>
        <w:kinsoku/>
        <w:wordWrap/>
        <w:overflowPunct/>
        <w:autoSpaceDE/>
        <w:autoSpaceDN/>
        <w:bidi w:val="0"/>
        <w:adjustRightInd/>
        <w:snapToGrid/>
        <w:ind w:left="0" w:leftChars="0" w:firstLine="560" w:firstLineChars="200"/>
        <w:rPr>
          <w:rFonts w:hint="default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招标代理在澄清页面，可书写变更信息，可修改招标阶段的开标一栏表、招标明细、评标办法、变更附件等信息。</w:t>
      </w:r>
    </w:p>
    <w:p w14:paraId="12748721">
      <w:pPr>
        <w:pStyle w:val="2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48" w:name="_Toc8614"/>
      <w:r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  <w:t>十二、场地变更</w:t>
      </w:r>
      <w:bookmarkEnd w:id="48"/>
    </w:p>
    <w:p w14:paraId="2DCD05A3">
      <w:pPr>
        <w:pStyle w:val="3"/>
        <w:numPr>
          <w:ilvl w:val="1"/>
          <w:numId w:val="0"/>
        </w:numPr>
        <w:bidi w:val="0"/>
        <w:ind w:left="-141" w:leftChars="0"/>
        <w:rPr>
          <w:rFonts w:hint="eastAsia" w:ascii="华文仿宋" w:hAnsi="华文仿宋" w:eastAsia="华文仿宋" w:cs="华文仿宋"/>
          <w:lang w:val="en-US" w:eastAsia="zh-CN"/>
        </w:rPr>
      </w:pPr>
      <w:bookmarkStart w:id="49" w:name="_Toc26653"/>
      <w:r>
        <w:rPr>
          <w:rFonts w:hint="eastAsia" w:ascii="华文仿宋" w:hAnsi="华文仿宋" w:eastAsia="华文仿宋" w:cs="华文仿宋"/>
          <w:lang w:val="en-US" w:eastAsia="zh-CN"/>
        </w:rPr>
        <w:t>（一）功能介绍</w:t>
      </w:r>
      <w:bookmarkEnd w:id="49"/>
    </w:p>
    <w:p w14:paraId="1F911809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招标代理可通过场地变更取消场地预约并重新约场地。</w:t>
      </w:r>
    </w:p>
    <w:p w14:paraId="5F0EE70A">
      <w:pPr>
        <w:pStyle w:val="3"/>
        <w:numPr>
          <w:ilvl w:val="1"/>
          <w:numId w:val="0"/>
        </w:numPr>
        <w:bidi w:val="0"/>
        <w:ind w:left="-141" w:leftChars="0"/>
        <w:rPr>
          <w:rFonts w:hint="eastAsia" w:ascii="华文仿宋" w:hAnsi="华文仿宋" w:eastAsia="华文仿宋" w:cs="华文仿宋"/>
          <w:lang w:val="en-US" w:eastAsia="zh-CN"/>
        </w:rPr>
      </w:pPr>
      <w:bookmarkStart w:id="50" w:name="_Toc12776"/>
      <w:r>
        <w:rPr>
          <w:rFonts w:hint="eastAsia" w:ascii="华文仿宋" w:hAnsi="华文仿宋" w:eastAsia="华文仿宋" w:cs="华文仿宋"/>
          <w:lang w:val="en-US" w:eastAsia="zh-CN"/>
        </w:rPr>
        <w:t>（二）具体操作</w:t>
      </w:r>
      <w:bookmarkEnd w:id="50"/>
    </w:p>
    <w:p w14:paraId="76E72E09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1、招标代理点击右侧“业务变更”菜单，点击“场地变更”模块。</w:t>
      </w:r>
    </w:p>
    <w:p w14:paraId="0F05F053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drawing>
          <wp:inline distT="0" distB="0" distL="114300" distR="114300">
            <wp:extent cx="5257800" cy="1395730"/>
            <wp:effectExtent l="0" t="0" r="0" b="13970"/>
            <wp:docPr id="3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39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8820C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2、招标代理点击“场地变更”菜单，在跳出页面中，需要先取消场地预约，再重新进行场地变更。</w:t>
      </w:r>
    </w:p>
    <w:p w14:paraId="6A3F3E64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3515" cy="1640840"/>
            <wp:effectExtent l="0" t="0" r="13335" b="16510"/>
            <wp:docPr id="3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64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D5077">
      <w:pPr>
        <w:pStyle w:val="2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51" w:name="_Toc7588"/>
      <w:r>
        <w:rPr>
          <w:rFonts w:hint="eastAsia" w:ascii="华文仿宋" w:hAnsi="华文仿宋" w:eastAsia="华文仿宋" w:cs="华文仿宋"/>
          <w:b/>
          <w:bCs/>
          <w:kern w:val="2"/>
          <w:sz w:val="32"/>
          <w:szCs w:val="32"/>
          <w:lang w:val="en-US" w:eastAsia="zh-CN" w:bidi="ar-SA"/>
          <w14:ligatures w14:val="none"/>
        </w:rPr>
        <w:t>十三、终止/废标公告</w:t>
      </w:r>
      <w:bookmarkEnd w:id="51"/>
    </w:p>
    <w:p w14:paraId="35DB20DF">
      <w:pPr>
        <w:pStyle w:val="3"/>
        <w:numPr>
          <w:ilvl w:val="1"/>
          <w:numId w:val="0"/>
        </w:numPr>
        <w:bidi w:val="0"/>
        <w:ind w:left="-141" w:leftChars="0"/>
        <w:rPr>
          <w:rFonts w:hint="eastAsia" w:ascii="华文仿宋" w:hAnsi="华文仿宋" w:eastAsia="华文仿宋" w:cs="华文仿宋"/>
          <w:lang w:val="en-US" w:eastAsia="zh-CN"/>
        </w:rPr>
      </w:pPr>
      <w:bookmarkStart w:id="52" w:name="_Toc23814"/>
      <w:r>
        <w:rPr>
          <w:rFonts w:hint="eastAsia" w:ascii="华文仿宋" w:hAnsi="华文仿宋" w:eastAsia="华文仿宋" w:cs="华文仿宋"/>
          <w:lang w:val="en-US" w:eastAsia="zh-CN"/>
        </w:rPr>
        <w:t>（一）功能介绍</w:t>
      </w:r>
      <w:bookmarkEnd w:id="52"/>
    </w:p>
    <w:p w14:paraId="25D51950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招标代理通过业务变更发布终止公告（项目终止）或废标公告。</w:t>
      </w:r>
    </w:p>
    <w:p w14:paraId="0DC3AC8B">
      <w:pPr>
        <w:pStyle w:val="3"/>
        <w:numPr>
          <w:ilvl w:val="1"/>
          <w:numId w:val="0"/>
        </w:numPr>
        <w:bidi w:val="0"/>
        <w:ind w:left="-141" w:leftChars="0"/>
        <w:rPr>
          <w:rFonts w:hint="eastAsia" w:ascii="华文仿宋" w:hAnsi="华文仿宋" w:eastAsia="华文仿宋" w:cs="华文仿宋"/>
          <w:lang w:val="en-US" w:eastAsia="zh-CN"/>
        </w:rPr>
      </w:pPr>
      <w:bookmarkStart w:id="53" w:name="_Toc15699"/>
      <w:r>
        <w:rPr>
          <w:rFonts w:hint="eastAsia" w:ascii="华文仿宋" w:hAnsi="华文仿宋" w:eastAsia="华文仿宋" w:cs="华文仿宋"/>
          <w:lang w:val="en-US" w:eastAsia="zh-CN"/>
        </w:rPr>
        <w:t>（二）具体操作</w:t>
      </w:r>
      <w:bookmarkEnd w:id="53"/>
    </w:p>
    <w:p w14:paraId="622CCFA3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1、招标代理点击右侧“业务变更”菜单，点击“终止公告”、“废标公告”模块。</w:t>
      </w:r>
    </w:p>
    <w:p w14:paraId="5EA18DAE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left="0" w:leftChars="0" w:firstLine="0" w:firstLineChars="0"/>
        <w:rPr>
          <w:sz w:val="21"/>
          <w:szCs w:val="21"/>
        </w:rPr>
      </w:pPr>
      <w:r>
        <w:drawing>
          <wp:inline distT="0" distB="0" distL="114300" distR="114300">
            <wp:extent cx="5261610" cy="1840865"/>
            <wp:effectExtent l="0" t="0" r="15240" b="6985"/>
            <wp:docPr id="4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FA03C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2、招标代理点击右侧“编辑”按钮，录入项目终止或废标原因。</w:t>
      </w:r>
    </w:p>
    <w:p w14:paraId="0E1FA8CB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left="0" w:leftChars="0" w:firstLine="0" w:firstLineChars="0"/>
      </w:pPr>
      <w:r>
        <w:drawing>
          <wp:inline distT="0" distB="0" distL="114300" distR="114300">
            <wp:extent cx="5266690" cy="2311400"/>
            <wp:effectExtent l="0" t="0" r="10160" b="12700"/>
            <wp:docPr id="3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55B6B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3、招标代理根据项目情况完善好终止原因或废标原因。</w:t>
      </w:r>
    </w:p>
    <w:p w14:paraId="2D8806DE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left="0" w:leftChars="0" w:firstLine="0" w:firstLineChars="0"/>
      </w:pPr>
      <w:r>
        <w:drawing>
          <wp:inline distT="0" distB="0" distL="114300" distR="114300">
            <wp:extent cx="5264150" cy="2087880"/>
            <wp:effectExtent l="0" t="0" r="12700" b="7620"/>
            <wp:docPr id="3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B505D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4、点击“预览”按钮，预览内容效果页面。</w:t>
      </w:r>
    </w:p>
    <w:p w14:paraId="1311A21D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left="0" w:leftChars="0" w:firstLine="0" w:firstLineChars="0"/>
      </w:pPr>
      <w:r>
        <w:drawing>
          <wp:inline distT="0" distB="0" distL="114300" distR="114300">
            <wp:extent cx="5270500" cy="2157730"/>
            <wp:effectExtent l="0" t="0" r="6350" b="13970"/>
            <wp:docPr id="4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5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C6056">
      <w:pPr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ind w:firstLine="420"/>
        <w:rPr>
          <w:rFonts w:hint="eastAsia"/>
          <w:lang w:val="en-US" w:eastAsia="zh-CN"/>
        </w:rPr>
      </w:pPr>
      <w:r>
        <w:rPr>
          <w:rFonts w:hint="eastAsia" w:ascii="华文仿宋" w:hAnsi="华文仿宋" w:eastAsia="华文仿宋" w:cs="华文仿宋"/>
          <w:kern w:val="2"/>
          <w:sz w:val="28"/>
          <w:szCs w:val="28"/>
          <w:lang w:val="en-US" w:eastAsia="zh-CN" w:bidi="ar-SA"/>
          <w14:ligatures w14:val="standardContextual"/>
        </w:rPr>
        <w:t>5、点击“提交”按钮后等待监督审核，审核通过后将终止公告或废标公告对外公示。</w:t>
      </w:r>
    </w:p>
    <w:p w14:paraId="5F5DB89F">
      <w:pPr>
        <w:bidi w:val="0"/>
        <w:ind w:left="0" w:leftChars="0" w:firstLine="0" w:firstLineChars="0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思源宋体 CN Light">
    <w:altName w:val="宋体"/>
    <w:panose1 w:val="02020300000000000000"/>
    <w:charset w:val="86"/>
    <w:family w:val="roman"/>
    <w:pitch w:val="default"/>
    <w:sig w:usb0="00000000" w:usb1="00000000" w:usb2="00000016" w:usb3="00000000" w:csb0="60060107" w:csb1="00000000"/>
  </w:font>
  <w:font w:name="方正小标宋_GBK">
    <w:altName w:val="微软雅黑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F82128A"/>
    <w:multiLevelType w:val="singleLevel"/>
    <w:tmpl w:val="8F82128A"/>
    <w:lvl w:ilvl="0" w:tentative="0">
      <w:start w:val="3"/>
      <w:numFmt w:val="decimal"/>
      <w:suff w:val="nothing"/>
      <w:lvlText w:val="%1、"/>
      <w:lvlJc w:val="left"/>
    </w:lvl>
  </w:abstractNum>
  <w:abstractNum w:abstractNumId="1">
    <w:nsid w:val="966FEBAD"/>
    <w:multiLevelType w:val="singleLevel"/>
    <w:tmpl w:val="966FEBAD"/>
    <w:lvl w:ilvl="0" w:tentative="0">
      <w:start w:val="3"/>
      <w:numFmt w:val="chineseCounting"/>
      <w:suff w:val="nothing"/>
      <w:lvlText w:val="（%1）"/>
      <w:lvlJc w:val="left"/>
      <w:pPr>
        <w:ind w:left="717"/>
      </w:pPr>
      <w:rPr>
        <w:rFonts w:hint="eastAsia"/>
      </w:rPr>
    </w:lvl>
  </w:abstractNum>
  <w:abstractNum w:abstractNumId="2">
    <w:nsid w:val="B1E3F9B4"/>
    <w:multiLevelType w:val="multilevel"/>
    <w:tmpl w:val="B1E3F9B4"/>
    <w:lvl w:ilvl="0" w:tentative="0">
      <w:start w:val="1"/>
      <w:numFmt w:val="chineseCountingThousand"/>
      <w:pStyle w:val="2"/>
      <w:lvlText w:val="%1、"/>
      <w:lvlJc w:val="left"/>
      <w:pPr>
        <w:ind w:left="432" w:hanging="432"/>
      </w:pPr>
      <w:rPr>
        <w:rFonts w:hint="eastAsia"/>
        <w:color w:val="auto"/>
      </w:rPr>
    </w:lvl>
    <w:lvl w:ilvl="1" w:tentative="0">
      <w:start w:val="1"/>
      <w:numFmt w:val="decimal"/>
      <w:pStyle w:val="3"/>
      <w:isLgl/>
      <w:lvlText w:val="%1.%2  "/>
      <w:lvlJc w:val="left"/>
      <w:pPr>
        <w:ind w:left="435" w:hanging="576"/>
      </w:pPr>
      <w:rPr>
        <w:rFonts w:hint="eastAsia" w:ascii="宋体" w:hAnsi="宋体" w:eastAsia="宋体" w:cs="宋体"/>
      </w:rPr>
    </w:lvl>
    <w:lvl w:ilvl="2" w:tentative="0">
      <w:start w:val="1"/>
      <w:numFmt w:val="decimal"/>
      <w:isLgl/>
      <w:lvlText w:val="%1.%2.%3  "/>
      <w:lvlJc w:val="left"/>
      <w:pPr>
        <w:ind w:left="1134" w:firstLine="1"/>
      </w:pPr>
      <w:rPr>
        <w:rFonts w:hint="eastAsia" w:ascii="宋体" w:hAnsi="宋体" w:eastAsia="宋体" w:cs="宋体"/>
      </w:rPr>
    </w:lvl>
    <w:lvl w:ilvl="3" w:tentative="0">
      <w:start w:val="1"/>
      <w:numFmt w:val="decimal"/>
      <w:isLgl/>
      <w:lvlText w:val="%1.%2.%3.%4、"/>
      <w:lvlJc w:val="left"/>
      <w:pPr>
        <w:ind w:left="723" w:hanging="864"/>
      </w:pPr>
      <w:rPr>
        <w:rFonts w:hint="eastAsia"/>
      </w:rPr>
    </w:lvl>
    <w:lvl w:ilvl="4" w:tentative="0">
      <w:start w:val="1"/>
      <w:numFmt w:val="decimal"/>
      <w:isLgl/>
      <w:lvlText w:val="%1.%2.%3.%4.%5、"/>
      <w:lvlJc w:val="left"/>
      <w:pPr>
        <w:ind w:left="86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01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15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29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443" w:hanging="1584"/>
      </w:pPr>
      <w:rPr>
        <w:rFonts w:hint="eastAsia"/>
      </w:rPr>
    </w:lvl>
  </w:abstractNum>
  <w:abstractNum w:abstractNumId="3">
    <w:nsid w:val="BB596172"/>
    <w:multiLevelType w:val="singleLevel"/>
    <w:tmpl w:val="BB596172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">
    <w:nsid w:val="C4E09B80"/>
    <w:multiLevelType w:val="singleLevel"/>
    <w:tmpl w:val="C4E09B80"/>
    <w:lvl w:ilvl="0" w:tentative="0">
      <w:start w:val="3"/>
      <w:numFmt w:val="decimal"/>
      <w:suff w:val="nothing"/>
      <w:lvlText w:val="（%1）"/>
      <w:lvlJc w:val="left"/>
      <w:pPr>
        <w:ind w:left="-10"/>
      </w:pPr>
    </w:lvl>
  </w:abstractNum>
  <w:abstractNum w:abstractNumId="5">
    <w:nsid w:val="C64C068C"/>
    <w:multiLevelType w:val="singleLevel"/>
    <w:tmpl w:val="C64C068C"/>
    <w:lvl w:ilvl="0" w:tentative="0">
      <w:start w:val="1"/>
      <w:numFmt w:val="decimal"/>
      <w:suff w:val="nothing"/>
      <w:lvlText w:val="%1、"/>
      <w:lvlJc w:val="left"/>
    </w:lvl>
  </w:abstractNum>
  <w:abstractNum w:abstractNumId="6">
    <w:nsid w:val="CFE51FD3"/>
    <w:multiLevelType w:val="multilevel"/>
    <w:tmpl w:val="CFE51FD3"/>
    <w:lvl w:ilvl="0" w:tentative="0">
      <w:start w:val="1"/>
      <w:numFmt w:val="chineseCountingThousand"/>
      <w:suff w:val="nothing"/>
      <w:lvlText w:val="%1、"/>
      <w:lvlJc w:val="left"/>
      <w:pPr>
        <w:ind w:left="425" w:hanging="425"/>
      </w:pPr>
      <w:rPr>
        <w:rFonts w:hint="eastAsia" w:ascii="宋体" w:hAnsi="宋体" w:eastAsia="宋体"/>
      </w:rPr>
    </w:lvl>
    <w:lvl w:ilvl="1" w:tentative="0">
      <w:start w:val="1"/>
      <w:numFmt w:val="decimal"/>
      <w:isLgl/>
      <w:suff w:val="nothing"/>
      <w:lvlText w:val="%1.%2  "/>
      <w:lvlJc w:val="left"/>
      <w:pPr>
        <w:tabs>
          <w:tab w:val="left" w:pos="0"/>
        </w:tabs>
        <w:ind w:left="567" w:hanging="567"/>
      </w:pPr>
      <w:rPr>
        <w:rFonts w:hint="eastAsia" w:ascii="宋体" w:hAnsi="宋体" w:eastAsia="宋体" w:cs="宋体"/>
      </w:rPr>
    </w:lvl>
    <w:lvl w:ilvl="2" w:tentative="0">
      <w:start w:val="1"/>
      <w:numFmt w:val="decimal"/>
      <w:isLgl/>
      <w:suff w:val="nothing"/>
      <w:lvlText w:val="%1.%2.%3、"/>
      <w:lvlJc w:val="left"/>
      <w:pPr>
        <w:ind w:left="1069" w:hanging="1069"/>
      </w:pPr>
      <w:rPr>
        <w:rFonts w:hint="eastAsia" w:ascii="宋体" w:hAnsi="宋体" w:eastAsia="宋体" w:cs="Arial"/>
      </w:rPr>
    </w:lvl>
    <w:lvl w:ilvl="3" w:tentative="0">
      <w:start w:val="1"/>
      <w:numFmt w:val="decimal"/>
      <w:isLgl/>
      <w:suff w:val="nothing"/>
      <w:lvlText w:val="%1.%2.%3.%4、"/>
      <w:lvlJc w:val="left"/>
      <w:pPr>
        <w:ind w:left="851" w:hanging="851"/>
      </w:pPr>
      <w:rPr>
        <w:rFonts w:hint="eastAsia" w:ascii="宋体" w:hAnsi="宋体" w:eastAsia="宋体" w:cs="Arial"/>
        <w:sz w:val="28"/>
        <w:szCs w:val="28"/>
      </w:rPr>
    </w:lvl>
    <w:lvl w:ilvl="4" w:tentative="0">
      <w:start w:val="1"/>
      <w:numFmt w:val="decimal"/>
      <w:isLgl/>
      <w:suff w:val="nothing"/>
      <w:lvlText w:val="%1.%2.%3.%4.%5、"/>
      <w:lvlJc w:val="left"/>
      <w:pPr>
        <w:ind w:left="992" w:hanging="992"/>
      </w:pPr>
      <w:rPr>
        <w:rFonts w:hint="eastAsia" w:ascii="宋体" w:hAnsi="宋体" w:eastAsia="宋体"/>
      </w:rPr>
    </w:lvl>
    <w:lvl w:ilvl="5" w:tentative="0">
      <w:start w:val="1"/>
      <w:numFmt w:val="decimal"/>
      <w:isLgl/>
      <w:suff w:val="nothing"/>
      <w:lvlText w:val="%1.%2.%3.%4.%5.%6、"/>
      <w:lvlJc w:val="left"/>
      <w:pPr>
        <w:ind w:left="1134" w:hanging="1134"/>
      </w:pPr>
      <w:rPr>
        <w:rFonts w:hint="eastAsia" w:ascii="宋体" w:hAnsi="宋体" w:eastAsia="宋体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 w:ascii="宋体" w:hAnsi="宋体" w:eastAsia="宋体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 w:ascii="宋体" w:hAnsi="宋体" w:eastAsia="宋体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 w:ascii="宋体" w:hAnsi="宋体" w:eastAsia="宋体"/>
      </w:rPr>
    </w:lvl>
  </w:abstractNum>
  <w:abstractNum w:abstractNumId="7">
    <w:nsid w:val="D5CB18DA"/>
    <w:multiLevelType w:val="singleLevel"/>
    <w:tmpl w:val="D5CB18D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8">
    <w:nsid w:val="D9F08AC3"/>
    <w:multiLevelType w:val="singleLevel"/>
    <w:tmpl w:val="D9F08AC3"/>
    <w:lvl w:ilvl="0" w:tentative="0">
      <w:start w:val="2"/>
      <w:numFmt w:val="decimal"/>
      <w:suff w:val="nothing"/>
      <w:lvlText w:val="（%1）"/>
      <w:lvlJc w:val="left"/>
    </w:lvl>
  </w:abstractNum>
  <w:abstractNum w:abstractNumId="9">
    <w:nsid w:val="E23EE666"/>
    <w:multiLevelType w:val="singleLevel"/>
    <w:tmpl w:val="E23EE666"/>
    <w:lvl w:ilvl="0" w:tentative="0">
      <w:start w:val="1"/>
      <w:numFmt w:val="decimal"/>
      <w:suff w:val="nothing"/>
      <w:lvlText w:val="%1、"/>
      <w:lvlJc w:val="left"/>
    </w:lvl>
  </w:abstractNum>
  <w:abstractNum w:abstractNumId="10">
    <w:nsid w:val="E513FA5A"/>
    <w:multiLevelType w:val="singleLevel"/>
    <w:tmpl w:val="E513FA5A"/>
    <w:lvl w:ilvl="0" w:tentative="0">
      <w:start w:val="1"/>
      <w:numFmt w:val="decimal"/>
      <w:suff w:val="nothing"/>
      <w:lvlText w:val="%1、"/>
      <w:lvlJc w:val="left"/>
    </w:lvl>
  </w:abstractNum>
  <w:abstractNum w:abstractNumId="11">
    <w:nsid w:val="202CB068"/>
    <w:multiLevelType w:val="singleLevel"/>
    <w:tmpl w:val="202CB068"/>
    <w:lvl w:ilvl="0" w:tentative="0">
      <w:start w:val="1"/>
      <w:numFmt w:val="decimal"/>
      <w:suff w:val="nothing"/>
      <w:lvlText w:val="（%1）"/>
      <w:lvlJc w:val="left"/>
    </w:lvl>
  </w:abstractNum>
  <w:abstractNum w:abstractNumId="12">
    <w:nsid w:val="64D5A6F2"/>
    <w:multiLevelType w:val="singleLevel"/>
    <w:tmpl w:val="64D5A6F2"/>
    <w:lvl w:ilvl="0" w:tentative="0">
      <w:start w:val="1"/>
      <w:numFmt w:val="decimal"/>
      <w:suff w:val="nothing"/>
      <w:lvlText w:val="%1、"/>
      <w:lvlJc w:val="left"/>
    </w:lvl>
  </w:abstractNum>
  <w:abstractNum w:abstractNumId="13">
    <w:nsid w:val="799B24C8"/>
    <w:multiLevelType w:val="singleLevel"/>
    <w:tmpl w:val="799B24C8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2"/>
  </w:num>
  <w:num w:numId="2">
    <w:abstractNumId w:val="6"/>
  </w:num>
  <w:num w:numId="3">
    <w:abstractNumId w:val="10"/>
  </w:num>
  <w:num w:numId="4">
    <w:abstractNumId w:val="0"/>
  </w:num>
  <w:num w:numId="5">
    <w:abstractNumId w:val="5"/>
  </w:num>
  <w:num w:numId="6">
    <w:abstractNumId w:val="4"/>
  </w:num>
  <w:num w:numId="7">
    <w:abstractNumId w:val="7"/>
  </w:num>
  <w:num w:numId="8">
    <w:abstractNumId w:val="13"/>
  </w:num>
  <w:num w:numId="9">
    <w:abstractNumId w:val="1"/>
  </w:num>
  <w:num w:numId="10">
    <w:abstractNumId w:val="12"/>
  </w:num>
  <w:num w:numId="11">
    <w:abstractNumId w:val="8"/>
  </w:num>
  <w:num w:numId="12">
    <w:abstractNumId w:val="11"/>
  </w:num>
  <w:num w:numId="13">
    <w:abstractNumId w:val="9"/>
  </w:num>
  <w:num w:numId="1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hiMTlhMTEyYWJiZDFlNGQzNjVmZWJjMTliZDMzZWYifQ=="/>
  </w:docVars>
  <w:rsids>
    <w:rsidRoot w:val="042043A4"/>
    <w:rsid w:val="00327CB1"/>
    <w:rsid w:val="004958E1"/>
    <w:rsid w:val="006875A4"/>
    <w:rsid w:val="00926437"/>
    <w:rsid w:val="00E928C0"/>
    <w:rsid w:val="00F76363"/>
    <w:rsid w:val="01103C64"/>
    <w:rsid w:val="012449B6"/>
    <w:rsid w:val="013C08C1"/>
    <w:rsid w:val="01416EE4"/>
    <w:rsid w:val="014B3705"/>
    <w:rsid w:val="016025FC"/>
    <w:rsid w:val="016814B1"/>
    <w:rsid w:val="016F2403"/>
    <w:rsid w:val="018A7679"/>
    <w:rsid w:val="01D20425"/>
    <w:rsid w:val="01F864D6"/>
    <w:rsid w:val="02025461"/>
    <w:rsid w:val="020A2568"/>
    <w:rsid w:val="022125E7"/>
    <w:rsid w:val="02240624"/>
    <w:rsid w:val="02540085"/>
    <w:rsid w:val="027E05F6"/>
    <w:rsid w:val="0284193E"/>
    <w:rsid w:val="02857988"/>
    <w:rsid w:val="02C62933"/>
    <w:rsid w:val="02EF3099"/>
    <w:rsid w:val="03045209"/>
    <w:rsid w:val="03272623"/>
    <w:rsid w:val="03764B4A"/>
    <w:rsid w:val="03DE27F7"/>
    <w:rsid w:val="03FB660C"/>
    <w:rsid w:val="04023458"/>
    <w:rsid w:val="04043557"/>
    <w:rsid w:val="042043A4"/>
    <w:rsid w:val="044B0BB3"/>
    <w:rsid w:val="045E16C2"/>
    <w:rsid w:val="0466617C"/>
    <w:rsid w:val="04783517"/>
    <w:rsid w:val="04876C93"/>
    <w:rsid w:val="048E122E"/>
    <w:rsid w:val="04D40FA8"/>
    <w:rsid w:val="04E6106A"/>
    <w:rsid w:val="05167723"/>
    <w:rsid w:val="05207EA6"/>
    <w:rsid w:val="053648B0"/>
    <w:rsid w:val="05372447"/>
    <w:rsid w:val="055B06E7"/>
    <w:rsid w:val="056E08C6"/>
    <w:rsid w:val="05AB2101"/>
    <w:rsid w:val="05B6499C"/>
    <w:rsid w:val="05D07AA0"/>
    <w:rsid w:val="05E22C45"/>
    <w:rsid w:val="063474FD"/>
    <w:rsid w:val="063A3F32"/>
    <w:rsid w:val="0653179E"/>
    <w:rsid w:val="06556151"/>
    <w:rsid w:val="065C3598"/>
    <w:rsid w:val="0671143B"/>
    <w:rsid w:val="06756E64"/>
    <w:rsid w:val="067C362B"/>
    <w:rsid w:val="06824DC3"/>
    <w:rsid w:val="06977A52"/>
    <w:rsid w:val="06ED3D49"/>
    <w:rsid w:val="06F85085"/>
    <w:rsid w:val="07121B0D"/>
    <w:rsid w:val="072702BE"/>
    <w:rsid w:val="073A6B33"/>
    <w:rsid w:val="074A4115"/>
    <w:rsid w:val="07692055"/>
    <w:rsid w:val="077227F5"/>
    <w:rsid w:val="07A6358C"/>
    <w:rsid w:val="07B020AC"/>
    <w:rsid w:val="07BD4105"/>
    <w:rsid w:val="08073A60"/>
    <w:rsid w:val="08474155"/>
    <w:rsid w:val="08482C5C"/>
    <w:rsid w:val="085966AC"/>
    <w:rsid w:val="087B405D"/>
    <w:rsid w:val="08A47272"/>
    <w:rsid w:val="08A84A91"/>
    <w:rsid w:val="08E57A97"/>
    <w:rsid w:val="090B7DC7"/>
    <w:rsid w:val="091E3D56"/>
    <w:rsid w:val="091F4B4B"/>
    <w:rsid w:val="0988417B"/>
    <w:rsid w:val="09C53944"/>
    <w:rsid w:val="09E71B0D"/>
    <w:rsid w:val="09F726B4"/>
    <w:rsid w:val="0A0C50B2"/>
    <w:rsid w:val="0A0F009B"/>
    <w:rsid w:val="0A143E08"/>
    <w:rsid w:val="0A3F4A61"/>
    <w:rsid w:val="0A993FB1"/>
    <w:rsid w:val="0ACB31DC"/>
    <w:rsid w:val="0AD33FFD"/>
    <w:rsid w:val="0ADD6A6C"/>
    <w:rsid w:val="0B147F71"/>
    <w:rsid w:val="0B505792"/>
    <w:rsid w:val="0B555793"/>
    <w:rsid w:val="0B7E024F"/>
    <w:rsid w:val="0BA37872"/>
    <w:rsid w:val="0BB440E1"/>
    <w:rsid w:val="0C07575C"/>
    <w:rsid w:val="0C5F0CA7"/>
    <w:rsid w:val="0C836647"/>
    <w:rsid w:val="0CCD15CC"/>
    <w:rsid w:val="0CCE0D2E"/>
    <w:rsid w:val="0CEC743A"/>
    <w:rsid w:val="0CFA798D"/>
    <w:rsid w:val="0D10137A"/>
    <w:rsid w:val="0D597A42"/>
    <w:rsid w:val="0D8E4DD9"/>
    <w:rsid w:val="0DBE0DD6"/>
    <w:rsid w:val="0DC36687"/>
    <w:rsid w:val="0DF26CD2"/>
    <w:rsid w:val="0E0E7739"/>
    <w:rsid w:val="0E297097"/>
    <w:rsid w:val="0E77780C"/>
    <w:rsid w:val="0E8A7BC0"/>
    <w:rsid w:val="0E974848"/>
    <w:rsid w:val="0EC77399"/>
    <w:rsid w:val="0ECF1F00"/>
    <w:rsid w:val="0EE859DF"/>
    <w:rsid w:val="0EF97BEC"/>
    <w:rsid w:val="0F0E3730"/>
    <w:rsid w:val="0F4C5781"/>
    <w:rsid w:val="0F5F2145"/>
    <w:rsid w:val="0F6A37E7"/>
    <w:rsid w:val="0F84395A"/>
    <w:rsid w:val="0F962B0F"/>
    <w:rsid w:val="0FA93012"/>
    <w:rsid w:val="0FF860F6"/>
    <w:rsid w:val="0FF876FE"/>
    <w:rsid w:val="10382597"/>
    <w:rsid w:val="10477862"/>
    <w:rsid w:val="104F5AD1"/>
    <w:rsid w:val="10594627"/>
    <w:rsid w:val="109A3AB6"/>
    <w:rsid w:val="10AA5642"/>
    <w:rsid w:val="10DF7836"/>
    <w:rsid w:val="113B4267"/>
    <w:rsid w:val="11A405D2"/>
    <w:rsid w:val="11AC41D7"/>
    <w:rsid w:val="11B05467"/>
    <w:rsid w:val="11C96578"/>
    <w:rsid w:val="11D745C7"/>
    <w:rsid w:val="11FB0620"/>
    <w:rsid w:val="120032F3"/>
    <w:rsid w:val="1217350D"/>
    <w:rsid w:val="122028A6"/>
    <w:rsid w:val="125C0BBE"/>
    <w:rsid w:val="12617F82"/>
    <w:rsid w:val="127B7042"/>
    <w:rsid w:val="12CF2B53"/>
    <w:rsid w:val="131E414A"/>
    <w:rsid w:val="132E3367"/>
    <w:rsid w:val="13850EB4"/>
    <w:rsid w:val="1387702A"/>
    <w:rsid w:val="13A27A23"/>
    <w:rsid w:val="140B4550"/>
    <w:rsid w:val="14102177"/>
    <w:rsid w:val="14411837"/>
    <w:rsid w:val="144D3595"/>
    <w:rsid w:val="1463591C"/>
    <w:rsid w:val="146B7F7D"/>
    <w:rsid w:val="147C0779"/>
    <w:rsid w:val="147E48FA"/>
    <w:rsid w:val="14810EC6"/>
    <w:rsid w:val="14A82CAD"/>
    <w:rsid w:val="14AB54F6"/>
    <w:rsid w:val="14F63F32"/>
    <w:rsid w:val="15082937"/>
    <w:rsid w:val="154E324D"/>
    <w:rsid w:val="15751F15"/>
    <w:rsid w:val="157C5F2B"/>
    <w:rsid w:val="15990CA4"/>
    <w:rsid w:val="15B12FCF"/>
    <w:rsid w:val="15BB34FB"/>
    <w:rsid w:val="15D67D9C"/>
    <w:rsid w:val="1610544C"/>
    <w:rsid w:val="162A05C8"/>
    <w:rsid w:val="162F7B89"/>
    <w:rsid w:val="1633430E"/>
    <w:rsid w:val="16797F90"/>
    <w:rsid w:val="167B79FB"/>
    <w:rsid w:val="16904827"/>
    <w:rsid w:val="16DA7F3D"/>
    <w:rsid w:val="16DF2D5A"/>
    <w:rsid w:val="17052882"/>
    <w:rsid w:val="170F26A3"/>
    <w:rsid w:val="17143815"/>
    <w:rsid w:val="175516FD"/>
    <w:rsid w:val="175F20BD"/>
    <w:rsid w:val="17697684"/>
    <w:rsid w:val="17BA4F3A"/>
    <w:rsid w:val="17E23913"/>
    <w:rsid w:val="18130B49"/>
    <w:rsid w:val="18882F4F"/>
    <w:rsid w:val="188C24EC"/>
    <w:rsid w:val="18F9689A"/>
    <w:rsid w:val="191B532F"/>
    <w:rsid w:val="196B7760"/>
    <w:rsid w:val="197742E3"/>
    <w:rsid w:val="19D91C69"/>
    <w:rsid w:val="19DC2629"/>
    <w:rsid w:val="1A59445E"/>
    <w:rsid w:val="1A5E2FB2"/>
    <w:rsid w:val="1A642D06"/>
    <w:rsid w:val="1A912351"/>
    <w:rsid w:val="1AB1475E"/>
    <w:rsid w:val="1AEF3F25"/>
    <w:rsid w:val="1AFE3DCF"/>
    <w:rsid w:val="1B122762"/>
    <w:rsid w:val="1B18320E"/>
    <w:rsid w:val="1B19379D"/>
    <w:rsid w:val="1B1E40A9"/>
    <w:rsid w:val="1B45446A"/>
    <w:rsid w:val="1B9112D4"/>
    <w:rsid w:val="1BD47A17"/>
    <w:rsid w:val="1BF64012"/>
    <w:rsid w:val="1C137D70"/>
    <w:rsid w:val="1C1C443F"/>
    <w:rsid w:val="1C327A85"/>
    <w:rsid w:val="1C4A1ECF"/>
    <w:rsid w:val="1C502276"/>
    <w:rsid w:val="1C5838E6"/>
    <w:rsid w:val="1C7134B8"/>
    <w:rsid w:val="1C7727DD"/>
    <w:rsid w:val="1C7D4844"/>
    <w:rsid w:val="1CB10F0F"/>
    <w:rsid w:val="1D044B4C"/>
    <w:rsid w:val="1D0C3151"/>
    <w:rsid w:val="1DCD471E"/>
    <w:rsid w:val="1E342468"/>
    <w:rsid w:val="1E52084A"/>
    <w:rsid w:val="1E810942"/>
    <w:rsid w:val="1E926FD5"/>
    <w:rsid w:val="1F506BBD"/>
    <w:rsid w:val="1F681AC2"/>
    <w:rsid w:val="1F687D89"/>
    <w:rsid w:val="1F9F0F29"/>
    <w:rsid w:val="1FA83A1B"/>
    <w:rsid w:val="1FAB661A"/>
    <w:rsid w:val="1FAC13C9"/>
    <w:rsid w:val="1FDE302C"/>
    <w:rsid w:val="20186E20"/>
    <w:rsid w:val="20353B42"/>
    <w:rsid w:val="203601AB"/>
    <w:rsid w:val="203E07CD"/>
    <w:rsid w:val="20790517"/>
    <w:rsid w:val="20EB31FD"/>
    <w:rsid w:val="21254716"/>
    <w:rsid w:val="217010C5"/>
    <w:rsid w:val="218C74F3"/>
    <w:rsid w:val="21924ACF"/>
    <w:rsid w:val="219877E5"/>
    <w:rsid w:val="21E25450"/>
    <w:rsid w:val="21FB0C54"/>
    <w:rsid w:val="22241FCD"/>
    <w:rsid w:val="22343942"/>
    <w:rsid w:val="223C1E72"/>
    <w:rsid w:val="224409DF"/>
    <w:rsid w:val="22696D78"/>
    <w:rsid w:val="22785ADF"/>
    <w:rsid w:val="229D6875"/>
    <w:rsid w:val="22D66243"/>
    <w:rsid w:val="22E41CFA"/>
    <w:rsid w:val="22E74C76"/>
    <w:rsid w:val="22EE5862"/>
    <w:rsid w:val="22EE62C3"/>
    <w:rsid w:val="22F307A1"/>
    <w:rsid w:val="232F735E"/>
    <w:rsid w:val="23454166"/>
    <w:rsid w:val="23470DD3"/>
    <w:rsid w:val="235C0446"/>
    <w:rsid w:val="2363739D"/>
    <w:rsid w:val="238F3ACB"/>
    <w:rsid w:val="23AB2753"/>
    <w:rsid w:val="23BC3936"/>
    <w:rsid w:val="23EF32E5"/>
    <w:rsid w:val="240F010D"/>
    <w:rsid w:val="24247062"/>
    <w:rsid w:val="243E45C7"/>
    <w:rsid w:val="24424650"/>
    <w:rsid w:val="24BE1D3F"/>
    <w:rsid w:val="24FD52C4"/>
    <w:rsid w:val="2524556B"/>
    <w:rsid w:val="25273FA6"/>
    <w:rsid w:val="252E2A3C"/>
    <w:rsid w:val="25396F57"/>
    <w:rsid w:val="254D2B5D"/>
    <w:rsid w:val="25755DC7"/>
    <w:rsid w:val="259C57FC"/>
    <w:rsid w:val="25B4016D"/>
    <w:rsid w:val="25E56D1A"/>
    <w:rsid w:val="25EC5DF0"/>
    <w:rsid w:val="25F87673"/>
    <w:rsid w:val="26052978"/>
    <w:rsid w:val="261B11B8"/>
    <w:rsid w:val="263C68E5"/>
    <w:rsid w:val="265D1A6F"/>
    <w:rsid w:val="268362C1"/>
    <w:rsid w:val="269303EE"/>
    <w:rsid w:val="26B35926"/>
    <w:rsid w:val="26F83306"/>
    <w:rsid w:val="2703259D"/>
    <w:rsid w:val="27046C82"/>
    <w:rsid w:val="27437A95"/>
    <w:rsid w:val="27497A41"/>
    <w:rsid w:val="27814C6F"/>
    <w:rsid w:val="278E3942"/>
    <w:rsid w:val="279F6240"/>
    <w:rsid w:val="27DC1CF7"/>
    <w:rsid w:val="27F8429D"/>
    <w:rsid w:val="28032C4F"/>
    <w:rsid w:val="28157E32"/>
    <w:rsid w:val="282A114A"/>
    <w:rsid w:val="283474EF"/>
    <w:rsid w:val="284952E9"/>
    <w:rsid w:val="284A15F7"/>
    <w:rsid w:val="287B329F"/>
    <w:rsid w:val="28903053"/>
    <w:rsid w:val="28C01A4F"/>
    <w:rsid w:val="28DD687E"/>
    <w:rsid w:val="28EC0579"/>
    <w:rsid w:val="29142381"/>
    <w:rsid w:val="29506A40"/>
    <w:rsid w:val="295D49CD"/>
    <w:rsid w:val="296A3B2A"/>
    <w:rsid w:val="29A04A56"/>
    <w:rsid w:val="29A60064"/>
    <w:rsid w:val="29AB6B0A"/>
    <w:rsid w:val="29B96AF2"/>
    <w:rsid w:val="29CD6057"/>
    <w:rsid w:val="29DC556C"/>
    <w:rsid w:val="29ED220A"/>
    <w:rsid w:val="29FC4FE3"/>
    <w:rsid w:val="2A353998"/>
    <w:rsid w:val="2A497822"/>
    <w:rsid w:val="2A9A62D0"/>
    <w:rsid w:val="2AAC67B1"/>
    <w:rsid w:val="2AF307E0"/>
    <w:rsid w:val="2B1D277D"/>
    <w:rsid w:val="2B1E0AB3"/>
    <w:rsid w:val="2B34402E"/>
    <w:rsid w:val="2B453124"/>
    <w:rsid w:val="2B72753D"/>
    <w:rsid w:val="2B793EEE"/>
    <w:rsid w:val="2B9417B8"/>
    <w:rsid w:val="2BC80AD2"/>
    <w:rsid w:val="2BFA6826"/>
    <w:rsid w:val="2C0B4B81"/>
    <w:rsid w:val="2C1D0F66"/>
    <w:rsid w:val="2C406162"/>
    <w:rsid w:val="2C5607DD"/>
    <w:rsid w:val="2C630EA2"/>
    <w:rsid w:val="2C7B4409"/>
    <w:rsid w:val="2CAC4444"/>
    <w:rsid w:val="2CB26E8F"/>
    <w:rsid w:val="2CFB619E"/>
    <w:rsid w:val="2D0E3A61"/>
    <w:rsid w:val="2D111CB6"/>
    <w:rsid w:val="2D11433C"/>
    <w:rsid w:val="2D862863"/>
    <w:rsid w:val="2D8F7C42"/>
    <w:rsid w:val="2D934D7B"/>
    <w:rsid w:val="2DBB186D"/>
    <w:rsid w:val="2DD73563"/>
    <w:rsid w:val="2DEF51A3"/>
    <w:rsid w:val="2DF4595A"/>
    <w:rsid w:val="2E206AEC"/>
    <w:rsid w:val="2E8D6E41"/>
    <w:rsid w:val="2E94175C"/>
    <w:rsid w:val="2F1C4E94"/>
    <w:rsid w:val="2F2A4A31"/>
    <w:rsid w:val="2F363314"/>
    <w:rsid w:val="2F5C1CF0"/>
    <w:rsid w:val="2F5F664A"/>
    <w:rsid w:val="2FB2218E"/>
    <w:rsid w:val="2FBB67FD"/>
    <w:rsid w:val="2FC279D2"/>
    <w:rsid w:val="2FDD4C94"/>
    <w:rsid w:val="30263C7D"/>
    <w:rsid w:val="303304B4"/>
    <w:rsid w:val="306C53F9"/>
    <w:rsid w:val="306E7FE2"/>
    <w:rsid w:val="30833701"/>
    <w:rsid w:val="308C7C9A"/>
    <w:rsid w:val="309612E7"/>
    <w:rsid w:val="30B324B7"/>
    <w:rsid w:val="30B6196F"/>
    <w:rsid w:val="30EB1210"/>
    <w:rsid w:val="31003E73"/>
    <w:rsid w:val="31014C08"/>
    <w:rsid w:val="31083F93"/>
    <w:rsid w:val="31413001"/>
    <w:rsid w:val="315C53F9"/>
    <w:rsid w:val="3169176E"/>
    <w:rsid w:val="31806EC2"/>
    <w:rsid w:val="318D5982"/>
    <w:rsid w:val="31CE2772"/>
    <w:rsid w:val="31D125D7"/>
    <w:rsid w:val="31D312A0"/>
    <w:rsid w:val="31E87920"/>
    <w:rsid w:val="323A056C"/>
    <w:rsid w:val="32481681"/>
    <w:rsid w:val="325C104A"/>
    <w:rsid w:val="327029CA"/>
    <w:rsid w:val="32743529"/>
    <w:rsid w:val="32AD3655"/>
    <w:rsid w:val="32B44306"/>
    <w:rsid w:val="32BE1797"/>
    <w:rsid w:val="32BE5342"/>
    <w:rsid w:val="32C2078F"/>
    <w:rsid w:val="32D85BE7"/>
    <w:rsid w:val="32DA21BA"/>
    <w:rsid w:val="32DB28F7"/>
    <w:rsid w:val="32DF2A9B"/>
    <w:rsid w:val="32FC29F3"/>
    <w:rsid w:val="3308075F"/>
    <w:rsid w:val="333A67F7"/>
    <w:rsid w:val="333B1446"/>
    <w:rsid w:val="335A2168"/>
    <w:rsid w:val="336761C3"/>
    <w:rsid w:val="33852BDF"/>
    <w:rsid w:val="33B9186A"/>
    <w:rsid w:val="33C85C5B"/>
    <w:rsid w:val="33E2056E"/>
    <w:rsid w:val="34151B5A"/>
    <w:rsid w:val="34385D18"/>
    <w:rsid w:val="344005B6"/>
    <w:rsid w:val="346960F9"/>
    <w:rsid w:val="34735842"/>
    <w:rsid w:val="348C2C0E"/>
    <w:rsid w:val="34B86931"/>
    <w:rsid w:val="34BC0833"/>
    <w:rsid w:val="34D50699"/>
    <w:rsid w:val="34E97F26"/>
    <w:rsid w:val="34F95AD3"/>
    <w:rsid w:val="355B79C0"/>
    <w:rsid w:val="35DD7439"/>
    <w:rsid w:val="35F93D1E"/>
    <w:rsid w:val="36056CF3"/>
    <w:rsid w:val="362B0A87"/>
    <w:rsid w:val="364C7FE8"/>
    <w:rsid w:val="366E2AEA"/>
    <w:rsid w:val="368D4E24"/>
    <w:rsid w:val="36BA6444"/>
    <w:rsid w:val="36E7595F"/>
    <w:rsid w:val="370F635B"/>
    <w:rsid w:val="372C52B2"/>
    <w:rsid w:val="3765016C"/>
    <w:rsid w:val="377D3CD2"/>
    <w:rsid w:val="37BA58BB"/>
    <w:rsid w:val="37DA41AF"/>
    <w:rsid w:val="37DF17C6"/>
    <w:rsid w:val="38571B5E"/>
    <w:rsid w:val="38A24CCD"/>
    <w:rsid w:val="38C421B1"/>
    <w:rsid w:val="38CD09F5"/>
    <w:rsid w:val="38E276A3"/>
    <w:rsid w:val="38EF7140"/>
    <w:rsid w:val="38F76D3C"/>
    <w:rsid w:val="38FB291B"/>
    <w:rsid w:val="390F2243"/>
    <w:rsid w:val="391425F7"/>
    <w:rsid w:val="392403D8"/>
    <w:rsid w:val="39241169"/>
    <w:rsid w:val="396D59CC"/>
    <w:rsid w:val="396F0148"/>
    <w:rsid w:val="39904FFA"/>
    <w:rsid w:val="3998511D"/>
    <w:rsid w:val="39A22DF4"/>
    <w:rsid w:val="39A80CF3"/>
    <w:rsid w:val="39B60E8F"/>
    <w:rsid w:val="39CC2A82"/>
    <w:rsid w:val="39CE5047"/>
    <w:rsid w:val="39E027C2"/>
    <w:rsid w:val="39E12455"/>
    <w:rsid w:val="39E278DC"/>
    <w:rsid w:val="39EA051A"/>
    <w:rsid w:val="39EB4452"/>
    <w:rsid w:val="39EC3969"/>
    <w:rsid w:val="39FA02BA"/>
    <w:rsid w:val="3A0929D5"/>
    <w:rsid w:val="3A1A0893"/>
    <w:rsid w:val="3A21780D"/>
    <w:rsid w:val="3A2622F6"/>
    <w:rsid w:val="3A3808CE"/>
    <w:rsid w:val="3A3F36E5"/>
    <w:rsid w:val="3A7570A0"/>
    <w:rsid w:val="3A806872"/>
    <w:rsid w:val="3ABD4DA4"/>
    <w:rsid w:val="3AD7545E"/>
    <w:rsid w:val="3AE32839"/>
    <w:rsid w:val="3B1219D2"/>
    <w:rsid w:val="3B367DE4"/>
    <w:rsid w:val="3B3717BF"/>
    <w:rsid w:val="3B45071A"/>
    <w:rsid w:val="3B4C2CCE"/>
    <w:rsid w:val="3B6B5F60"/>
    <w:rsid w:val="3B7300EC"/>
    <w:rsid w:val="3B8A393B"/>
    <w:rsid w:val="3BAD413C"/>
    <w:rsid w:val="3BB558CE"/>
    <w:rsid w:val="3BC2056E"/>
    <w:rsid w:val="3BC46B96"/>
    <w:rsid w:val="3BCE69DE"/>
    <w:rsid w:val="3BEC1BDD"/>
    <w:rsid w:val="3BFE7EBF"/>
    <w:rsid w:val="3C0A14BE"/>
    <w:rsid w:val="3C2B3DE6"/>
    <w:rsid w:val="3C495460"/>
    <w:rsid w:val="3C5938F5"/>
    <w:rsid w:val="3CA44C61"/>
    <w:rsid w:val="3CCD7E3F"/>
    <w:rsid w:val="3CCF578C"/>
    <w:rsid w:val="3CD15B81"/>
    <w:rsid w:val="3CFC5837"/>
    <w:rsid w:val="3D5A13B1"/>
    <w:rsid w:val="3DF43324"/>
    <w:rsid w:val="3DFC4628"/>
    <w:rsid w:val="3E1C26FC"/>
    <w:rsid w:val="3E5144CF"/>
    <w:rsid w:val="3E944577"/>
    <w:rsid w:val="3ED100BA"/>
    <w:rsid w:val="3EF92944"/>
    <w:rsid w:val="3F131518"/>
    <w:rsid w:val="3F16680E"/>
    <w:rsid w:val="3F6D4F39"/>
    <w:rsid w:val="3F716CF5"/>
    <w:rsid w:val="3F9F4E81"/>
    <w:rsid w:val="3FB558D6"/>
    <w:rsid w:val="3FE148A8"/>
    <w:rsid w:val="3FEF334E"/>
    <w:rsid w:val="40714F85"/>
    <w:rsid w:val="40776135"/>
    <w:rsid w:val="409C284C"/>
    <w:rsid w:val="40BA0E60"/>
    <w:rsid w:val="40C81E0C"/>
    <w:rsid w:val="41083B3B"/>
    <w:rsid w:val="411B2BE7"/>
    <w:rsid w:val="415B243E"/>
    <w:rsid w:val="417B0EAE"/>
    <w:rsid w:val="41826724"/>
    <w:rsid w:val="418B5A00"/>
    <w:rsid w:val="41A73354"/>
    <w:rsid w:val="41B24056"/>
    <w:rsid w:val="41CC4B69"/>
    <w:rsid w:val="41CE1354"/>
    <w:rsid w:val="41DD054B"/>
    <w:rsid w:val="41FB36A0"/>
    <w:rsid w:val="4253528A"/>
    <w:rsid w:val="42754EE0"/>
    <w:rsid w:val="428A7C17"/>
    <w:rsid w:val="42A718AA"/>
    <w:rsid w:val="42AE426E"/>
    <w:rsid w:val="42AF57EB"/>
    <w:rsid w:val="42D73D62"/>
    <w:rsid w:val="42E14644"/>
    <w:rsid w:val="42F04FAB"/>
    <w:rsid w:val="43654AFE"/>
    <w:rsid w:val="43A159A3"/>
    <w:rsid w:val="43F751F0"/>
    <w:rsid w:val="442A25B9"/>
    <w:rsid w:val="44357057"/>
    <w:rsid w:val="44566A49"/>
    <w:rsid w:val="44843B41"/>
    <w:rsid w:val="44931401"/>
    <w:rsid w:val="44B15F50"/>
    <w:rsid w:val="44CA30FE"/>
    <w:rsid w:val="44E01144"/>
    <w:rsid w:val="44F529B8"/>
    <w:rsid w:val="450A3CA6"/>
    <w:rsid w:val="4527534D"/>
    <w:rsid w:val="453C62A9"/>
    <w:rsid w:val="456D2FD6"/>
    <w:rsid w:val="45CF69D6"/>
    <w:rsid w:val="45D90CED"/>
    <w:rsid w:val="45EF2DFE"/>
    <w:rsid w:val="463475C6"/>
    <w:rsid w:val="464F52D1"/>
    <w:rsid w:val="465A3F27"/>
    <w:rsid w:val="46946B53"/>
    <w:rsid w:val="46B24D85"/>
    <w:rsid w:val="471160F4"/>
    <w:rsid w:val="474156B1"/>
    <w:rsid w:val="475B17A5"/>
    <w:rsid w:val="47D520C8"/>
    <w:rsid w:val="47DA5262"/>
    <w:rsid w:val="483C7C60"/>
    <w:rsid w:val="484A6E97"/>
    <w:rsid w:val="48577D69"/>
    <w:rsid w:val="487B36AC"/>
    <w:rsid w:val="48952816"/>
    <w:rsid w:val="48E5660A"/>
    <w:rsid w:val="49013421"/>
    <w:rsid w:val="490C7880"/>
    <w:rsid w:val="49225B3C"/>
    <w:rsid w:val="49425710"/>
    <w:rsid w:val="495E334C"/>
    <w:rsid w:val="496569C4"/>
    <w:rsid w:val="49786554"/>
    <w:rsid w:val="49825945"/>
    <w:rsid w:val="49836455"/>
    <w:rsid w:val="49B25AB0"/>
    <w:rsid w:val="49C96EA1"/>
    <w:rsid w:val="49DD04D1"/>
    <w:rsid w:val="49EA3A51"/>
    <w:rsid w:val="4A081D33"/>
    <w:rsid w:val="4A152A6B"/>
    <w:rsid w:val="4A203629"/>
    <w:rsid w:val="4A301A24"/>
    <w:rsid w:val="4A3D58AA"/>
    <w:rsid w:val="4A5E2A1E"/>
    <w:rsid w:val="4A5F404B"/>
    <w:rsid w:val="4A704B41"/>
    <w:rsid w:val="4A8D3285"/>
    <w:rsid w:val="4A98226A"/>
    <w:rsid w:val="4AA3222B"/>
    <w:rsid w:val="4AAD1DBA"/>
    <w:rsid w:val="4AC70825"/>
    <w:rsid w:val="4ACD12F9"/>
    <w:rsid w:val="4AF1232C"/>
    <w:rsid w:val="4AF84E98"/>
    <w:rsid w:val="4B1165B3"/>
    <w:rsid w:val="4B2B05F3"/>
    <w:rsid w:val="4B425E9C"/>
    <w:rsid w:val="4B68071D"/>
    <w:rsid w:val="4B7A7752"/>
    <w:rsid w:val="4B875F83"/>
    <w:rsid w:val="4BBC17AA"/>
    <w:rsid w:val="4BC30D8B"/>
    <w:rsid w:val="4BC36FDC"/>
    <w:rsid w:val="4BF453E8"/>
    <w:rsid w:val="4BFB7AB5"/>
    <w:rsid w:val="4C1E4027"/>
    <w:rsid w:val="4C1E5473"/>
    <w:rsid w:val="4C392114"/>
    <w:rsid w:val="4C6F0F12"/>
    <w:rsid w:val="4C884C4C"/>
    <w:rsid w:val="4CD20516"/>
    <w:rsid w:val="4CE948F5"/>
    <w:rsid w:val="4D1578B9"/>
    <w:rsid w:val="4D7F6F33"/>
    <w:rsid w:val="4D9D7640"/>
    <w:rsid w:val="4DB0247E"/>
    <w:rsid w:val="4DB43C8A"/>
    <w:rsid w:val="4DCC28BC"/>
    <w:rsid w:val="4DCD5D1D"/>
    <w:rsid w:val="4E8F764A"/>
    <w:rsid w:val="4ECA47EA"/>
    <w:rsid w:val="4ECE1E61"/>
    <w:rsid w:val="4ED24783"/>
    <w:rsid w:val="4F192763"/>
    <w:rsid w:val="4F2204BE"/>
    <w:rsid w:val="4F22226C"/>
    <w:rsid w:val="4F3501F1"/>
    <w:rsid w:val="4F45397B"/>
    <w:rsid w:val="4F495A4B"/>
    <w:rsid w:val="4F673C73"/>
    <w:rsid w:val="4F7978D6"/>
    <w:rsid w:val="4F954F27"/>
    <w:rsid w:val="4F95526F"/>
    <w:rsid w:val="4F9E7830"/>
    <w:rsid w:val="4FA62E9D"/>
    <w:rsid w:val="4FC132FA"/>
    <w:rsid w:val="502D711A"/>
    <w:rsid w:val="5084795E"/>
    <w:rsid w:val="508F3510"/>
    <w:rsid w:val="509A4660"/>
    <w:rsid w:val="50F70D9C"/>
    <w:rsid w:val="51013454"/>
    <w:rsid w:val="511D36DC"/>
    <w:rsid w:val="515A51D2"/>
    <w:rsid w:val="518B336F"/>
    <w:rsid w:val="519478E5"/>
    <w:rsid w:val="519531C9"/>
    <w:rsid w:val="51B86C95"/>
    <w:rsid w:val="5288688A"/>
    <w:rsid w:val="52C118CB"/>
    <w:rsid w:val="52FD67AC"/>
    <w:rsid w:val="53031B15"/>
    <w:rsid w:val="53692AC9"/>
    <w:rsid w:val="536C2E61"/>
    <w:rsid w:val="53910E0F"/>
    <w:rsid w:val="53A45945"/>
    <w:rsid w:val="53B01114"/>
    <w:rsid w:val="53B637C9"/>
    <w:rsid w:val="53BB2B25"/>
    <w:rsid w:val="53EB1F23"/>
    <w:rsid w:val="540B1521"/>
    <w:rsid w:val="54187E9C"/>
    <w:rsid w:val="542B072D"/>
    <w:rsid w:val="54380EC8"/>
    <w:rsid w:val="54620295"/>
    <w:rsid w:val="54E01871"/>
    <w:rsid w:val="54F254FC"/>
    <w:rsid w:val="550A78EC"/>
    <w:rsid w:val="552B3D5F"/>
    <w:rsid w:val="559C7C25"/>
    <w:rsid w:val="55B07746"/>
    <w:rsid w:val="55BB0D24"/>
    <w:rsid w:val="55DE2A3D"/>
    <w:rsid w:val="562B4E3E"/>
    <w:rsid w:val="562C2483"/>
    <w:rsid w:val="564451BE"/>
    <w:rsid w:val="56A24778"/>
    <w:rsid w:val="56BE394E"/>
    <w:rsid w:val="56F6271C"/>
    <w:rsid w:val="574A68C4"/>
    <w:rsid w:val="57617E6C"/>
    <w:rsid w:val="57692C03"/>
    <w:rsid w:val="576B7E0E"/>
    <w:rsid w:val="57983795"/>
    <w:rsid w:val="579F188E"/>
    <w:rsid w:val="579F4A9D"/>
    <w:rsid w:val="57A15795"/>
    <w:rsid w:val="57A6123A"/>
    <w:rsid w:val="57D8796C"/>
    <w:rsid w:val="57F3496D"/>
    <w:rsid w:val="58424BDE"/>
    <w:rsid w:val="58555918"/>
    <w:rsid w:val="586D5395"/>
    <w:rsid w:val="58821851"/>
    <w:rsid w:val="58902D21"/>
    <w:rsid w:val="58C9133D"/>
    <w:rsid w:val="58F10AFE"/>
    <w:rsid w:val="59004C67"/>
    <w:rsid w:val="590D6500"/>
    <w:rsid w:val="591946E0"/>
    <w:rsid w:val="593A321B"/>
    <w:rsid w:val="5941761E"/>
    <w:rsid w:val="595D6CCC"/>
    <w:rsid w:val="59613991"/>
    <w:rsid w:val="59AB510D"/>
    <w:rsid w:val="59B95C66"/>
    <w:rsid w:val="59C809FE"/>
    <w:rsid w:val="59DA2931"/>
    <w:rsid w:val="5A1D36D7"/>
    <w:rsid w:val="5A4A2677"/>
    <w:rsid w:val="5A852801"/>
    <w:rsid w:val="5AA24261"/>
    <w:rsid w:val="5AD52888"/>
    <w:rsid w:val="5B232A2C"/>
    <w:rsid w:val="5B293D83"/>
    <w:rsid w:val="5B352F53"/>
    <w:rsid w:val="5B7163FA"/>
    <w:rsid w:val="5B9662C9"/>
    <w:rsid w:val="5BA84BC0"/>
    <w:rsid w:val="5BAB3C8A"/>
    <w:rsid w:val="5BD141DA"/>
    <w:rsid w:val="5C141FB7"/>
    <w:rsid w:val="5C301A80"/>
    <w:rsid w:val="5C337842"/>
    <w:rsid w:val="5C4001D5"/>
    <w:rsid w:val="5C4B45AD"/>
    <w:rsid w:val="5C5808D6"/>
    <w:rsid w:val="5C732359"/>
    <w:rsid w:val="5C816850"/>
    <w:rsid w:val="5C826B51"/>
    <w:rsid w:val="5C994962"/>
    <w:rsid w:val="5C9E2577"/>
    <w:rsid w:val="5CA0213A"/>
    <w:rsid w:val="5CA44524"/>
    <w:rsid w:val="5CBC3B42"/>
    <w:rsid w:val="5CE768A3"/>
    <w:rsid w:val="5CEA08DF"/>
    <w:rsid w:val="5CFA24EF"/>
    <w:rsid w:val="5D320D12"/>
    <w:rsid w:val="5DBD2974"/>
    <w:rsid w:val="5DDA759F"/>
    <w:rsid w:val="5E3239CA"/>
    <w:rsid w:val="5E61304E"/>
    <w:rsid w:val="5E6A153A"/>
    <w:rsid w:val="5E923C49"/>
    <w:rsid w:val="5E987E55"/>
    <w:rsid w:val="5F011BCF"/>
    <w:rsid w:val="5F190554"/>
    <w:rsid w:val="5F3625DE"/>
    <w:rsid w:val="5F626B29"/>
    <w:rsid w:val="5F70219F"/>
    <w:rsid w:val="5F796A1B"/>
    <w:rsid w:val="5FA547D0"/>
    <w:rsid w:val="5FA97E40"/>
    <w:rsid w:val="5FE315A4"/>
    <w:rsid w:val="5FE403A9"/>
    <w:rsid w:val="601817FE"/>
    <w:rsid w:val="602A6D31"/>
    <w:rsid w:val="608C5797"/>
    <w:rsid w:val="609410A1"/>
    <w:rsid w:val="60AC2E28"/>
    <w:rsid w:val="60D84662"/>
    <w:rsid w:val="60FA1991"/>
    <w:rsid w:val="610B41C1"/>
    <w:rsid w:val="610D0FF3"/>
    <w:rsid w:val="61182871"/>
    <w:rsid w:val="61572D1F"/>
    <w:rsid w:val="619830D1"/>
    <w:rsid w:val="619C1438"/>
    <w:rsid w:val="61A134C4"/>
    <w:rsid w:val="61E76376"/>
    <w:rsid w:val="624350F9"/>
    <w:rsid w:val="624A4268"/>
    <w:rsid w:val="62632EA9"/>
    <w:rsid w:val="62A75C58"/>
    <w:rsid w:val="62C92502"/>
    <w:rsid w:val="62CB4CB6"/>
    <w:rsid w:val="62EA4AD8"/>
    <w:rsid w:val="63020EC6"/>
    <w:rsid w:val="63051831"/>
    <w:rsid w:val="6347263D"/>
    <w:rsid w:val="634A6C06"/>
    <w:rsid w:val="63571EDC"/>
    <w:rsid w:val="63894210"/>
    <w:rsid w:val="63C27722"/>
    <w:rsid w:val="63CB2A7A"/>
    <w:rsid w:val="63DE0D1B"/>
    <w:rsid w:val="640970FF"/>
    <w:rsid w:val="64153CF6"/>
    <w:rsid w:val="64250520"/>
    <w:rsid w:val="643028DD"/>
    <w:rsid w:val="646E74D1"/>
    <w:rsid w:val="64754794"/>
    <w:rsid w:val="64956148"/>
    <w:rsid w:val="64A03E97"/>
    <w:rsid w:val="654C1BB4"/>
    <w:rsid w:val="65587861"/>
    <w:rsid w:val="65743D6A"/>
    <w:rsid w:val="65777A33"/>
    <w:rsid w:val="658D431E"/>
    <w:rsid w:val="660F562D"/>
    <w:rsid w:val="661C1D55"/>
    <w:rsid w:val="662D5327"/>
    <w:rsid w:val="663D02AB"/>
    <w:rsid w:val="6688240A"/>
    <w:rsid w:val="67254BBD"/>
    <w:rsid w:val="67284F41"/>
    <w:rsid w:val="672B4598"/>
    <w:rsid w:val="673B36F4"/>
    <w:rsid w:val="67476203"/>
    <w:rsid w:val="675279B7"/>
    <w:rsid w:val="67674777"/>
    <w:rsid w:val="678304AF"/>
    <w:rsid w:val="678D5B25"/>
    <w:rsid w:val="679C2069"/>
    <w:rsid w:val="67A30475"/>
    <w:rsid w:val="67B709D6"/>
    <w:rsid w:val="67C6330A"/>
    <w:rsid w:val="67DC5D00"/>
    <w:rsid w:val="67FC2E32"/>
    <w:rsid w:val="67FC3439"/>
    <w:rsid w:val="68201A4B"/>
    <w:rsid w:val="68680898"/>
    <w:rsid w:val="68724A84"/>
    <w:rsid w:val="68B00B32"/>
    <w:rsid w:val="68B95650"/>
    <w:rsid w:val="68C63B5A"/>
    <w:rsid w:val="68D90C8B"/>
    <w:rsid w:val="68E025D1"/>
    <w:rsid w:val="68F55EAE"/>
    <w:rsid w:val="68F760C0"/>
    <w:rsid w:val="68F85BA3"/>
    <w:rsid w:val="690A5DF3"/>
    <w:rsid w:val="69674FF3"/>
    <w:rsid w:val="6978587C"/>
    <w:rsid w:val="6988086B"/>
    <w:rsid w:val="69BF6BDD"/>
    <w:rsid w:val="69D33BE7"/>
    <w:rsid w:val="69F33A7A"/>
    <w:rsid w:val="69F47A43"/>
    <w:rsid w:val="6A0E4A1D"/>
    <w:rsid w:val="6A175DE8"/>
    <w:rsid w:val="6A1E7473"/>
    <w:rsid w:val="6A435388"/>
    <w:rsid w:val="6A5E6BE6"/>
    <w:rsid w:val="6A7A2B04"/>
    <w:rsid w:val="6A7B56C3"/>
    <w:rsid w:val="6A9242F2"/>
    <w:rsid w:val="6AC66597"/>
    <w:rsid w:val="6B080452"/>
    <w:rsid w:val="6B0E3F4A"/>
    <w:rsid w:val="6B3D5CD6"/>
    <w:rsid w:val="6B8A0A6F"/>
    <w:rsid w:val="6B8C29D5"/>
    <w:rsid w:val="6B9D2AA6"/>
    <w:rsid w:val="6BB17750"/>
    <w:rsid w:val="6BC33839"/>
    <w:rsid w:val="6BDB3034"/>
    <w:rsid w:val="6C2F6C22"/>
    <w:rsid w:val="6C5775A1"/>
    <w:rsid w:val="6C6B6010"/>
    <w:rsid w:val="6C7A7724"/>
    <w:rsid w:val="6CCF7844"/>
    <w:rsid w:val="6CD72490"/>
    <w:rsid w:val="6CFE1F35"/>
    <w:rsid w:val="6D0D4104"/>
    <w:rsid w:val="6D7952F5"/>
    <w:rsid w:val="6D884C76"/>
    <w:rsid w:val="6D994926"/>
    <w:rsid w:val="6DAF5E16"/>
    <w:rsid w:val="6DED193F"/>
    <w:rsid w:val="6DF252AD"/>
    <w:rsid w:val="6DF44E5D"/>
    <w:rsid w:val="6E1D7FF6"/>
    <w:rsid w:val="6E9F4187"/>
    <w:rsid w:val="6EB01B45"/>
    <w:rsid w:val="6EBA5DD4"/>
    <w:rsid w:val="6EBD7464"/>
    <w:rsid w:val="6EE15B07"/>
    <w:rsid w:val="6EE730B6"/>
    <w:rsid w:val="6EE8172E"/>
    <w:rsid w:val="6F406567"/>
    <w:rsid w:val="6F4B0F13"/>
    <w:rsid w:val="6F4B5E42"/>
    <w:rsid w:val="6F5222A2"/>
    <w:rsid w:val="6FAA5B2A"/>
    <w:rsid w:val="6FC822D0"/>
    <w:rsid w:val="6FCF5B9E"/>
    <w:rsid w:val="7007308C"/>
    <w:rsid w:val="701B6B38"/>
    <w:rsid w:val="701E2184"/>
    <w:rsid w:val="702F613F"/>
    <w:rsid w:val="70351623"/>
    <w:rsid w:val="703B2711"/>
    <w:rsid w:val="707F3A1C"/>
    <w:rsid w:val="708B5A6B"/>
    <w:rsid w:val="70961244"/>
    <w:rsid w:val="709A77FF"/>
    <w:rsid w:val="70B2124A"/>
    <w:rsid w:val="712B25C9"/>
    <w:rsid w:val="714123CE"/>
    <w:rsid w:val="714421E1"/>
    <w:rsid w:val="714B51FB"/>
    <w:rsid w:val="71583F14"/>
    <w:rsid w:val="715F32C2"/>
    <w:rsid w:val="71A4709A"/>
    <w:rsid w:val="72220DA8"/>
    <w:rsid w:val="72606204"/>
    <w:rsid w:val="7285321E"/>
    <w:rsid w:val="72954BE7"/>
    <w:rsid w:val="72B979C5"/>
    <w:rsid w:val="73080361"/>
    <w:rsid w:val="731004AA"/>
    <w:rsid w:val="73127121"/>
    <w:rsid w:val="731752D7"/>
    <w:rsid w:val="73A6516D"/>
    <w:rsid w:val="73B36483"/>
    <w:rsid w:val="73BE16E0"/>
    <w:rsid w:val="73DA22D0"/>
    <w:rsid w:val="73F27BAF"/>
    <w:rsid w:val="743970F8"/>
    <w:rsid w:val="744A59BE"/>
    <w:rsid w:val="74687ACD"/>
    <w:rsid w:val="747A5831"/>
    <w:rsid w:val="74A651E2"/>
    <w:rsid w:val="74BF60D1"/>
    <w:rsid w:val="74F07B2E"/>
    <w:rsid w:val="74F636CF"/>
    <w:rsid w:val="74FA4462"/>
    <w:rsid w:val="753D12FE"/>
    <w:rsid w:val="75895CEC"/>
    <w:rsid w:val="75A86778"/>
    <w:rsid w:val="75B07D22"/>
    <w:rsid w:val="7609536D"/>
    <w:rsid w:val="760C4AC0"/>
    <w:rsid w:val="761E4C8C"/>
    <w:rsid w:val="76A440CA"/>
    <w:rsid w:val="76BD6060"/>
    <w:rsid w:val="76E91BE4"/>
    <w:rsid w:val="76F4501A"/>
    <w:rsid w:val="77122396"/>
    <w:rsid w:val="771B4AB6"/>
    <w:rsid w:val="77390453"/>
    <w:rsid w:val="77433A7A"/>
    <w:rsid w:val="775A7F45"/>
    <w:rsid w:val="779B1C7C"/>
    <w:rsid w:val="77A41F1A"/>
    <w:rsid w:val="77F13EF0"/>
    <w:rsid w:val="7808361A"/>
    <w:rsid w:val="780C63D5"/>
    <w:rsid w:val="785B25DD"/>
    <w:rsid w:val="78636067"/>
    <w:rsid w:val="7866354D"/>
    <w:rsid w:val="786848E4"/>
    <w:rsid w:val="789613EB"/>
    <w:rsid w:val="78FE72BB"/>
    <w:rsid w:val="792C4A7D"/>
    <w:rsid w:val="793B2EE4"/>
    <w:rsid w:val="795450A1"/>
    <w:rsid w:val="79EB2AFD"/>
    <w:rsid w:val="79EC5D79"/>
    <w:rsid w:val="79F3055C"/>
    <w:rsid w:val="7A1F78D9"/>
    <w:rsid w:val="7A39444D"/>
    <w:rsid w:val="7A657EF8"/>
    <w:rsid w:val="7A757A75"/>
    <w:rsid w:val="7A9A1E68"/>
    <w:rsid w:val="7AE62C3C"/>
    <w:rsid w:val="7AE718E8"/>
    <w:rsid w:val="7B0A7C76"/>
    <w:rsid w:val="7B174A5B"/>
    <w:rsid w:val="7B3A1278"/>
    <w:rsid w:val="7B5452A8"/>
    <w:rsid w:val="7B641083"/>
    <w:rsid w:val="7B701D01"/>
    <w:rsid w:val="7B78320B"/>
    <w:rsid w:val="7B7F5B85"/>
    <w:rsid w:val="7B7F680B"/>
    <w:rsid w:val="7BD23821"/>
    <w:rsid w:val="7BED31A1"/>
    <w:rsid w:val="7C0419CE"/>
    <w:rsid w:val="7C0F4623"/>
    <w:rsid w:val="7C1C69FB"/>
    <w:rsid w:val="7C25465B"/>
    <w:rsid w:val="7C35223C"/>
    <w:rsid w:val="7C4116D4"/>
    <w:rsid w:val="7C482C12"/>
    <w:rsid w:val="7C506621"/>
    <w:rsid w:val="7C5A0F19"/>
    <w:rsid w:val="7C784990"/>
    <w:rsid w:val="7C7C44BA"/>
    <w:rsid w:val="7CCD1DCF"/>
    <w:rsid w:val="7CDE1FBF"/>
    <w:rsid w:val="7D272678"/>
    <w:rsid w:val="7D70369C"/>
    <w:rsid w:val="7D72026B"/>
    <w:rsid w:val="7D792545"/>
    <w:rsid w:val="7D8710BA"/>
    <w:rsid w:val="7D9119B2"/>
    <w:rsid w:val="7DA97B2B"/>
    <w:rsid w:val="7DEC38C1"/>
    <w:rsid w:val="7DF23542"/>
    <w:rsid w:val="7E05308E"/>
    <w:rsid w:val="7E0653D2"/>
    <w:rsid w:val="7E0B3D48"/>
    <w:rsid w:val="7E2A0282"/>
    <w:rsid w:val="7E4C41F6"/>
    <w:rsid w:val="7E520C26"/>
    <w:rsid w:val="7E65312E"/>
    <w:rsid w:val="7E6F4D21"/>
    <w:rsid w:val="7EB47CAC"/>
    <w:rsid w:val="7EC9095B"/>
    <w:rsid w:val="7F0029F4"/>
    <w:rsid w:val="7F08264C"/>
    <w:rsid w:val="7F226ED5"/>
    <w:rsid w:val="7F46776E"/>
    <w:rsid w:val="7F5F014E"/>
    <w:rsid w:val="7F8D1BE5"/>
    <w:rsid w:val="7FC4399B"/>
    <w:rsid w:val="7FD30D65"/>
    <w:rsid w:val="7FDE6F60"/>
    <w:rsid w:val="7FE94C3B"/>
    <w:rsid w:val="7FEB0E98"/>
    <w:rsid w:val="7FF654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9" w:semiHidden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iPriority="99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  <w14:ligatures w14:val="standardContextual"/>
    </w:rPr>
  </w:style>
  <w:style w:type="paragraph" w:styleId="2">
    <w:name w:val="heading 1"/>
    <w:basedOn w:val="1"/>
    <w:next w:val="1"/>
    <w:link w:val="19"/>
    <w:autoRedefine/>
    <w:qFormat/>
    <w:uiPriority w:val="0"/>
    <w:pPr>
      <w:keepNext/>
      <w:keepLines/>
      <w:numPr>
        <w:ilvl w:val="0"/>
        <w:numId w:val="1"/>
      </w:numPr>
      <w:spacing w:before="120" w:after="120"/>
      <w:ind w:firstLineChars="0"/>
      <w:jc w:val="left"/>
      <w:outlineLvl w:val="0"/>
    </w:pPr>
    <w:rPr>
      <w:rFonts w:eastAsia="思源宋体 CN Light"/>
      <w:b/>
      <w:bCs/>
      <w:kern w:val="44"/>
      <w:sz w:val="32"/>
      <w:szCs w:val="44"/>
    </w:rPr>
  </w:style>
  <w:style w:type="paragraph" w:styleId="3">
    <w:name w:val="heading 2"/>
    <w:basedOn w:val="1"/>
    <w:next w:val="1"/>
    <w:autoRedefine/>
    <w:qFormat/>
    <w:uiPriority w:val="0"/>
    <w:pPr>
      <w:keepNext/>
      <w:keepLines/>
      <w:widowControl/>
      <w:numPr>
        <w:ilvl w:val="1"/>
        <w:numId w:val="1"/>
      </w:numPr>
      <w:spacing w:before="120" w:after="120" w:line="360" w:lineRule="auto"/>
      <w:ind w:left="435" w:hanging="576" w:firstLineChars="0"/>
      <w:jc w:val="left"/>
      <w:outlineLvl w:val="1"/>
    </w:pPr>
    <w:rPr>
      <w:rFonts w:ascii="Times New Roman" w:hAnsi="Times New Roman" w:eastAsia="思源宋体 CN Light" w:cs="Times New Roman"/>
      <w:b/>
      <w:bCs/>
      <w:sz w:val="30"/>
      <w:szCs w:val="32"/>
    </w:rPr>
  </w:style>
  <w:style w:type="paragraph" w:styleId="4">
    <w:name w:val="heading 3"/>
    <w:basedOn w:val="1"/>
    <w:next w:val="1"/>
    <w:autoRedefine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paragraph" w:styleId="5">
    <w:name w:val="heading 4"/>
    <w:basedOn w:val="1"/>
    <w:next w:val="1"/>
    <w:autoRedefine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paragraph" w:styleId="6">
    <w:name w:val="heading 7"/>
    <w:basedOn w:val="1"/>
    <w:next w:val="1"/>
    <w:autoRedefine/>
    <w:unhideWhenUsed/>
    <w:qFormat/>
    <w:uiPriority w:val="9"/>
    <w:pPr>
      <w:keepNext/>
      <w:keepLines/>
      <w:spacing w:before="240" w:after="64" w:line="320" w:lineRule="auto"/>
      <w:outlineLvl w:val="6"/>
    </w:pPr>
    <w:rPr>
      <w:bCs/>
      <w:szCs w:val="24"/>
    </w:rPr>
  </w:style>
  <w:style w:type="character" w:default="1" w:styleId="16">
    <w:name w:val="Default Paragraph Font"/>
    <w:autoRedefine/>
    <w:semiHidden/>
    <w:qFormat/>
    <w:uiPriority w:val="0"/>
  </w:style>
  <w:style w:type="table" w:default="1" w:styleId="15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Normal Indent"/>
    <w:basedOn w:val="1"/>
    <w:autoRedefine/>
    <w:unhideWhenUsed/>
    <w:qFormat/>
    <w:uiPriority w:val="99"/>
    <w:pPr>
      <w:ind w:firstLine="420" w:firstLineChars="200"/>
    </w:pPr>
  </w:style>
  <w:style w:type="paragraph" w:styleId="8">
    <w:name w:val="annotation text"/>
    <w:basedOn w:val="1"/>
    <w:autoRedefine/>
    <w:qFormat/>
    <w:uiPriority w:val="0"/>
    <w:pPr>
      <w:jc w:val="left"/>
    </w:pPr>
  </w:style>
  <w:style w:type="paragraph" w:styleId="9">
    <w:name w:val="toc 3"/>
    <w:basedOn w:val="1"/>
    <w:next w:val="1"/>
    <w:autoRedefine/>
    <w:qFormat/>
    <w:uiPriority w:val="0"/>
    <w:pPr>
      <w:ind w:left="840" w:leftChars="400"/>
    </w:pPr>
  </w:style>
  <w:style w:type="paragraph" w:styleId="10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1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2">
    <w:name w:val="toc 1"/>
    <w:basedOn w:val="1"/>
    <w:next w:val="1"/>
    <w:autoRedefine/>
    <w:qFormat/>
    <w:uiPriority w:val="0"/>
  </w:style>
  <w:style w:type="paragraph" w:styleId="13">
    <w:name w:val="toc 2"/>
    <w:basedOn w:val="1"/>
    <w:next w:val="1"/>
    <w:autoRedefine/>
    <w:qFormat/>
    <w:uiPriority w:val="0"/>
    <w:pPr>
      <w:ind w:left="420" w:leftChars="200"/>
    </w:pPr>
  </w:style>
  <w:style w:type="paragraph" w:styleId="14">
    <w:name w:val="Normal (Web)"/>
    <w:basedOn w:val="1"/>
    <w:autoRedefine/>
    <w:qFormat/>
    <w:uiPriority w:val="0"/>
    <w:rPr>
      <w:sz w:val="24"/>
    </w:rPr>
  </w:style>
  <w:style w:type="character" w:styleId="17">
    <w:name w:val="Strong"/>
    <w:basedOn w:val="16"/>
    <w:autoRedefine/>
    <w:qFormat/>
    <w:uiPriority w:val="22"/>
    <w:rPr>
      <w:b/>
      <w:bCs/>
    </w:rPr>
  </w:style>
  <w:style w:type="character" w:styleId="18">
    <w:name w:val="Hyperlink"/>
    <w:basedOn w:val="16"/>
    <w:autoRedefine/>
    <w:qFormat/>
    <w:uiPriority w:val="0"/>
    <w:rPr>
      <w:color w:val="0000FF"/>
      <w:u w:val="single"/>
    </w:rPr>
  </w:style>
  <w:style w:type="character" w:customStyle="1" w:styleId="19">
    <w:name w:val="标题 1 字符"/>
    <w:link w:val="2"/>
    <w:autoRedefine/>
    <w:qFormat/>
    <w:uiPriority w:val="0"/>
    <w:rPr>
      <w:rFonts w:eastAsia="思源宋体 CN Light"/>
      <w:b/>
      <w:bCs/>
      <w:kern w:val="44"/>
      <w:sz w:val="32"/>
      <w:szCs w:val="44"/>
    </w:rPr>
  </w:style>
  <w:style w:type="paragraph" w:customStyle="1" w:styleId="20">
    <w:name w:val="正文说明"/>
    <w:basedOn w:val="1"/>
    <w:autoRedefine/>
    <w:qFormat/>
    <w:uiPriority w:val="0"/>
    <w:rPr>
      <w:b/>
      <w:sz w:val="18"/>
    </w:rPr>
  </w:style>
  <w:style w:type="paragraph" w:styleId="21">
    <w:name w:val="List Paragraph"/>
    <w:basedOn w:val="1"/>
    <w:autoRedefine/>
    <w:qFormat/>
    <w:uiPriority w:val="34"/>
    <w:pPr>
      <w:ind w:firstLine="420"/>
    </w:pPr>
  </w:style>
  <w:style w:type="paragraph" w:customStyle="1" w:styleId="22">
    <w:name w:val="正文图片"/>
    <w:basedOn w:val="1"/>
    <w:autoRedefine/>
    <w:qFormat/>
    <w:uiPriority w:val="0"/>
    <w:pPr>
      <w:spacing w:beforeLines="50" w:afterLines="50"/>
      <w:ind w:firstLine="0" w:firstLineChars="0"/>
      <w:jc w:val="center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5" Type="http://schemas.openxmlformats.org/officeDocument/2006/relationships/fontTable" Target="fontTable.xml"/><Relationship Id="rId84" Type="http://schemas.openxmlformats.org/officeDocument/2006/relationships/numbering" Target="numbering.xml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37</Pages>
  <Words>5697</Words>
  <Characters>5873</Characters>
  <Lines>0</Lines>
  <Paragraphs>0</Paragraphs>
  <TotalTime>0</TotalTime>
  <ScaleCrop>false</ScaleCrop>
  <LinksUpToDate>false</LinksUpToDate>
  <CharactersWithSpaces>6065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2025-05-20T07:41:00Z</dcterms:created>
  <dc:creator>Administrator</dc:creator>
  <cp:lastModifiedBy>奕者</cp:lastModifiedBy>
  <dcterms:modified xsi:type="dcterms:W3CDTF">2025-11-14T03:37:03Z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7725AC4799444151981F761E4AE47826_13</vt:lpwstr>
  </property>
  <property fmtid="{D5CDD505-2E9C-101B-9397-08002B2CF9AE}" pid="4" name="KSOTemplateDocerSaveRecord">
    <vt:lpwstr>eyJoZGlkIjoiNmQwNjAzODkxYjBjNDM4ZTcyNTdkNjAxYTZkNDI2MWQiLCJ1c2VySWQiOiI0OTAyMzI0OTIifQ==</vt:lpwstr>
  </property>
</Properties>
</file>