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14:paraId="4651047A">
      <w:pPr>
        <w:pStyle w:val="style0"/>
        <w:jc w:val="center"/>
        <w:rPr>
          <w:rFonts w:ascii="仿宋" w:hAnsi="仿宋"/>
          <w:b/>
          <w:sz w:val="48"/>
          <w:szCs w:val="44"/>
          <w:highlight w:val="none"/>
        </w:rPr>
      </w:pPr>
    </w:p>
    <w:p w14:paraId="2D258CCB">
      <w:pPr>
        <w:pStyle w:val="style0"/>
        <w:jc w:val="center"/>
        <w:rPr>
          <w:rFonts w:ascii="仿宋" w:hAnsi="仿宋"/>
          <w:b/>
          <w:sz w:val="48"/>
          <w:szCs w:val="44"/>
          <w:highlight w:val="none"/>
        </w:rPr>
      </w:pPr>
    </w:p>
    <w:p w14:paraId="149724BC">
      <w:pPr>
        <w:pStyle w:val="style0"/>
        <w:spacing w:lineRule="auto" w:line="360"/>
        <w:jc w:val="center"/>
        <w:rPr>
          <w:rFonts w:ascii="仿宋" w:hAnsi="仿宋"/>
          <w:b/>
          <w:sz w:val="48"/>
          <w:szCs w:val="44"/>
          <w:highlight w:val="none"/>
        </w:rPr>
      </w:pPr>
    </w:p>
    <w:p w14:paraId="056903BC">
      <w:pPr>
        <w:pStyle w:val="style0"/>
        <w:spacing w:lineRule="auto" w:line="360"/>
        <w:jc w:val="center"/>
        <w:rPr>
          <w:rFonts w:ascii="仿宋" w:hAnsi="仿宋"/>
          <w:b/>
          <w:sz w:val="48"/>
          <w:szCs w:val="44"/>
          <w:highlight w:val="none"/>
        </w:rPr>
      </w:pPr>
    </w:p>
    <w:p w14:paraId="28C1090F">
      <w:pPr>
        <w:pStyle w:val="style0"/>
        <w:spacing w:lineRule="auto" w:line="360"/>
        <w:jc w:val="center"/>
        <w:rPr>
          <w:rFonts w:ascii="仿宋" w:hAnsi="仿宋"/>
          <w:b/>
          <w:sz w:val="48"/>
          <w:szCs w:val="44"/>
          <w:highlight w:val="none"/>
        </w:rPr>
      </w:pPr>
    </w:p>
    <w:p w14:paraId="10853C0D">
      <w:pPr>
        <w:pStyle w:val="style0"/>
        <w:spacing w:lineRule="auto" w:line="360"/>
        <w:jc w:val="center"/>
        <w:rPr>
          <w:rFonts w:ascii="仿宋" w:hAnsi="仿宋"/>
          <w:b/>
          <w:sz w:val="48"/>
          <w:szCs w:val="44"/>
          <w:highlight w:val="none"/>
        </w:rPr>
      </w:pPr>
    </w:p>
    <w:p w14:paraId="625D69A8">
      <w:pPr>
        <w:pStyle w:val="style0"/>
        <w:spacing w:lineRule="auto" w:line="360"/>
        <w:jc w:val="center"/>
        <w:rPr>
          <w:rFonts w:ascii="仿宋" w:hAnsi="仿宋"/>
          <w:b/>
          <w:sz w:val="48"/>
          <w:szCs w:val="44"/>
          <w:highlight w:val="none"/>
        </w:rPr>
      </w:pPr>
      <w:r>
        <w:rPr>
          <w:rFonts w:ascii="仿宋" w:hAnsi="仿宋" w:hint="eastAsia"/>
          <w:b/>
          <w:sz w:val="48"/>
          <w:szCs w:val="44"/>
          <w:highlight w:val="none"/>
        </w:rPr>
        <w:t>济南</w:t>
      </w:r>
      <w:r>
        <w:rPr>
          <w:rFonts w:ascii="仿宋" w:hAnsi="仿宋"/>
          <w:b/>
          <w:sz w:val="48"/>
          <w:szCs w:val="44"/>
          <w:highlight w:val="none"/>
        </w:rPr>
        <w:t>公共资源交易中心</w:t>
      </w:r>
    </w:p>
    <w:p w14:paraId="34AB2EF1">
      <w:pPr>
        <w:pStyle w:val="style0"/>
        <w:spacing w:lineRule="auto" w:line="360"/>
        <w:jc w:val="center"/>
        <w:rPr>
          <w:rFonts w:ascii="仿宋" w:hAnsi="仿宋" w:hint="default"/>
          <w:b/>
          <w:sz w:val="48"/>
          <w:szCs w:val="44"/>
          <w:highlight w:val="none"/>
          <w:lang w:val="en-US"/>
        </w:rPr>
      </w:pPr>
      <w:r>
        <w:rPr>
          <w:rFonts w:ascii="仿宋" w:hAnsi="仿宋" w:hint="eastAsia"/>
          <w:b/>
          <w:sz w:val="48"/>
          <w:szCs w:val="44"/>
          <w:highlight w:val="none"/>
          <w:lang w:val="en-US" w:eastAsia="zh-CN"/>
        </w:rPr>
        <w:t>投标</w:t>
      </w:r>
      <w:r>
        <w:rPr>
          <w:rFonts w:ascii="仿宋" w:hAnsi="仿宋"/>
          <w:b/>
          <w:sz w:val="48"/>
          <w:szCs w:val="44"/>
          <w:highlight w:val="none"/>
        </w:rPr>
        <w:t>保证金</w:t>
      </w:r>
      <w:r>
        <w:rPr>
          <w:rFonts w:ascii="仿宋" w:hAnsi="仿宋" w:hint="eastAsia"/>
          <w:b/>
          <w:sz w:val="48"/>
          <w:szCs w:val="44"/>
          <w:highlight w:val="none"/>
          <w:lang w:val="en-US" w:eastAsia="zh-CN"/>
        </w:rPr>
        <w:t>及保函交纳操作手册</w:t>
      </w:r>
    </w:p>
    <w:p w14:paraId="4CD2F628">
      <w:pPr>
        <w:pStyle w:val="style0"/>
        <w:spacing w:lineRule="auto" w:line="360"/>
        <w:jc w:val="center"/>
        <w:rPr>
          <w:rFonts w:ascii="仿宋" w:hAnsi="仿宋"/>
          <w:b/>
          <w:sz w:val="48"/>
          <w:szCs w:val="44"/>
          <w:highlight w:val="none"/>
        </w:rPr>
      </w:pPr>
    </w:p>
    <w:p w14:paraId="2634B662">
      <w:pPr>
        <w:pStyle w:val="style0"/>
        <w:jc w:val="center"/>
        <w:rPr>
          <w:rFonts w:ascii="仿宋" w:hAnsi="仿宋"/>
          <w:b/>
          <w:sz w:val="48"/>
          <w:szCs w:val="44"/>
          <w:highlight w:val="none"/>
        </w:rPr>
      </w:pPr>
    </w:p>
    <w:p w14:paraId="4F45977B">
      <w:pPr>
        <w:pStyle w:val="style0"/>
        <w:jc w:val="center"/>
        <w:rPr>
          <w:rFonts w:ascii="仿宋" w:hAnsi="仿宋"/>
          <w:b/>
          <w:sz w:val="48"/>
          <w:szCs w:val="44"/>
          <w:highlight w:val="none"/>
        </w:rPr>
      </w:pPr>
    </w:p>
    <w:p w14:paraId="3BD12745">
      <w:pPr>
        <w:pStyle w:val="style0"/>
        <w:ind w:firstLine="640" w:firstLineChars="200"/>
        <w:rPr>
          <w:rFonts w:ascii="仿宋" w:hAnsi="仿宋"/>
          <w:sz w:val="32"/>
          <w:highlight w:val="none"/>
        </w:rPr>
      </w:pPr>
    </w:p>
    <w:p w14:paraId="61DC56E2">
      <w:pPr>
        <w:pStyle w:val="style0"/>
        <w:ind w:firstLine="640" w:firstLineChars="200"/>
        <w:rPr>
          <w:rFonts w:ascii="仿宋" w:hAnsi="仿宋"/>
          <w:sz w:val="32"/>
          <w:highlight w:val="none"/>
        </w:rPr>
      </w:pPr>
    </w:p>
    <w:p w14:paraId="5CFE0D9E">
      <w:pPr>
        <w:pStyle w:val="style0"/>
        <w:ind w:firstLine="640" w:firstLineChars="200"/>
        <w:rPr>
          <w:rFonts w:ascii="仿宋" w:hAnsi="仿宋"/>
          <w:sz w:val="32"/>
          <w:highlight w:val="none"/>
        </w:rPr>
      </w:pPr>
    </w:p>
    <w:p w14:paraId="195D475C">
      <w:pPr>
        <w:pStyle w:val="style0"/>
        <w:ind w:firstLine="640" w:firstLineChars="200"/>
        <w:rPr>
          <w:rFonts w:ascii="仿宋" w:hAnsi="仿宋"/>
          <w:sz w:val="32"/>
          <w:highlight w:val="none"/>
        </w:rPr>
      </w:pPr>
    </w:p>
    <w:p w14:paraId="2A87498C">
      <w:pPr>
        <w:pStyle w:val="style0"/>
        <w:ind w:firstLine="640" w:firstLineChars="200"/>
        <w:rPr>
          <w:rFonts w:ascii="仿宋" w:hAnsi="仿宋"/>
          <w:sz w:val="32"/>
          <w:highlight w:val="none"/>
        </w:rPr>
      </w:pPr>
    </w:p>
    <w:p w14:paraId="231D5162">
      <w:pPr>
        <w:pStyle w:val="style0"/>
        <w:ind w:firstLine="640" w:firstLineChars="200"/>
        <w:rPr>
          <w:rFonts w:ascii="仿宋" w:hAnsi="仿宋"/>
          <w:sz w:val="32"/>
          <w:highlight w:val="none"/>
        </w:rPr>
      </w:pPr>
    </w:p>
    <w:p w14:paraId="36C7E80E">
      <w:pPr>
        <w:pStyle w:val="style0"/>
        <w:ind w:firstLine="640" w:firstLineChars="200"/>
        <w:jc w:val="center"/>
        <w:rPr>
          <w:rFonts w:ascii="仿宋" w:hAnsi="仿宋"/>
          <w:sz w:val="32"/>
          <w:highlight w:val="none"/>
        </w:rPr>
      </w:pPr>
      <w:r>
        <w:rPr>
          <w:rFonts w:ascii="仿宋" w:hAnsi="仿宋" w:hint="eastAsia"/>
          <w:sz w:val="32"/>
          <w:highlight w:val="none"/>
        </w:rPr>
        <w:t>编订日期：2</w:t>
      </w:r>
      <w:r>
        <w:rPr>
          <w:rFonts w:ascii="仿宋" w:hAnsi="仿宋"/>
          <w:sz w:val="32"/>
          <w:highlight w:val="none"/>
        </w:rPr>
        <w:t>02</w:t>
      </w:r>
      <w:r>
        <w:rPr>
          <w:rFonts w:ascii="仿宋" w:hAnsi="仿宋" w:hint="eastAsia"/>
          <w:sz w:val="32"/>
          <w:highlight w:val="none"/>
          <w:lang w:val="en-US" w:eastAsia="zh-CN"/>
        </w:rPr>
        <w:t>4</w:t>
      </w:r>
      <w:r>
        <w:rPr>
          <w:rFonts w:ascii="仿宋" w:hAnsi="仿宋" w:hint="eastAsia"/>
          <w:sz w:val="32"/>
          <w:highlight w:val="none"/>
        </w:rPr>
        <w:t>年</w:t>
      </w:r>
      <w:r>
        <w:rPr>
          <w:rFonts w:ascii="仿宋" w:hAnsi="仿宋"/>
          <w:sz w:val="32"/>
          <w:highlight w:val="none"/>
        </w:rPr>
        <w:t>1</w:t>
      </w:r>
      <w:r>
        <w:rPr>
          <w:rFonts w:ascii="仿宋" w:hAnsi="仿宋" w:hint="eastAsia"/>
          <w:sz w:val="32"/>
          <w:highlight w:val="none"/>
          <w:lang w:val="en-US" w:eastAsia="zh-CN"/>
        </w:rPr>
        <w:t>2</w:t>
      </w:r>
      <w:r>
        <w:rPr>
          <w:rFonts w:ascii="仿宋" w:hAnsi="仿宋" w:hint="eastAsia"/>
          <w:sz w:val="32"/>
          <w:highlight w:val="none"/>
        </w:rPr>
        <w:t>月</w:t>
      </w:r>
    </w:p>
    <w:p w14:paraId="2E1E378E">
      <w:pPr>
        <w:pStyle w:val="style0"/>
        <w:ind w:firstLine="640" w:firstLineChars="200"/>
        <w:rPr>
          <w:rFonts w:ascii="仿宋" w:hAnsi="仿宋"/>
          <w:sz w:val="32"/>
          <w:highlight w:val="none"/>
        </w:rPr>
      </w:pPr>
    </w:p>
    <w:p w14:paraId="58460D97">
      <w:pPr>
        <w:pStyle w:val="style0"/>
        <w:ind w:firstLine="640" w:firstLineChars="200"/>
        <w:rPr>
          <w:rFonts w:ascii="仿宋" w:hAnsi="仿宋"/>
          <w:sz w:val="32"/>
          <w:highlight w:val="none"/>
        </w:rPr>
      </w:pPr>
    </w:p>
    <w:p w14:paraId="12842CE1">
      <w:pPr>
        <w:pStyle w:val="style0"/>
        <w:ind w:firstLine="640" w:firstLineChars="200"/>
        <w:rPr>
          <w:rFonts w:ascii="仿宋" w:hAnsi="仿宋"/>
          <w:sz w:val="32"/>
          <w:highlight w:val="none"/>
        </w:rPr>
      </w:pPr>
    </w:p>
    <w:p w14:paraId="73BA711A">
      <w:pPr>
        <w:pStyle w:val="style0"/>
        <w:ind w:firstLine="640" w:firstLineChars="200"/>
        <w:rPr>
          <w:rFonts w:ascii="仿宋" w:hAnsi="仿宋"/>
          <w:sz w:val="32"/>
          <w:highlight w:val="none"/>
        </w:rPr>
      </w:pPr>
    </w:p>
    <w:p w14:paraId="5291E995">
      <w:pPr>
        <w:pStyle w:val="style0"/>
        <w:ind w:firstLine="640" w:firstLineChars="200"/>
        <w:rPr>
          <w:rFonts w:ascii="仿宋" w:hAnsi="仿宋"/>
          <w:sz w:val="32"/>
          <w:highlight w:val="none"/>
        </w:rPr>
      </w:pPr>
    </w:p>
    <w:p w14:paraId="42BACBC6">
      <w:pPr>
        <w:pStyle w:val="style0"/>
        <w:ind w:firstLine="640" w:firstLineChars="200"/>
        <w:rPr>
          <w:rFonts w:ascii="仿宋" w:hAnsi="仿宋" w:hint="eastAsia"/>
          <w:sz w:val="32"/>
          <w:highlight w:val="none"/>
        </w:rPr>
      </w:pPr>
      <w:r>
        <w:rPr>
          <w:rFonts w:ascii="仿宋" w:hAnsi="仿宋" w:hint="eastAsia"/>
          <w:sz w:val="32"/>
          <w:highlight w:val="none"/>
        </w:rPr>
        <w:t>济南公共资源</w:t>
      </w:r>
      <w:r>
        <w:rPr>
          <w:rFonts w:ascii="仿宋" w:hAnsi="仿宋"/>
          <w:sz w:val="32"/>
          <w:highlight w:val="none"/>
        </w:rPr>
        <w:t>交易</w:t>
      </w:r>
      <w:r>
        <w:rPr>
          <w:rFonts w:ascii="仿宋" w:hAnsi="仿宋" w:hint="eastAsia"/>
          <w:sz w:val="32"/>
          <w:highlight w:val="none"/>
        </w:rPr>
        <w:t>中心</w:t>
      </w:r>
      <w:r>
        <w:rPr>
          <w:rFonts w:ascii="仿宋" w:hAnsi="仿宋" w:hint="eastAsia"/>
          <w:sz w:val="32"/>
          <w:highlight w:val="none"/>
          <w:lang w:val="en-US" w:eastAsia="zh-CN"/>
        </w:rPr>
        <w:t>投标</w:t>
      </w:r>
      <w:r>
        <w:rPr>
          <w:rFonts w:ascii="仿宋" w:hAnsi="仿宋" w:hint="eastAsia"/>
          <w:sz w:val="32"/>
          <w:highlight w:val="none"/>
        </w:rPr>
        <w:t>保证金</w:t>
      </w:r>
      <w:r>
        <w:rPr>
          <w:rFonts w:ascii="仿宋" w:hAnsi="仿宋" w:hint="eastAsia"/>
          <w:sz w:val="32"/>
          <w:highlight w:val="none"/>
          <w:lang w:val="en-US" w:eastAsia="zh-CN"/>
        </w:rPr>
        <w:t>及保函</w:t>
      </w:r>
      <w:r>
        <w:rPr>
          <w:rFonts w:ascii="仿宋" w:hAnsi="仿宋" w:hint="eastAsia"/>
          <w:sz w:val="32"/>
          <w:highlight w:val="none"/>
        </w:rPr>
        <w:t>共</w:t>
      </w:r>
      <w:r>
        <w:rPr>
          <w:rFonts w:ascii="仿宋" w:hAnsi="仿宋" w:hint="eastAsia"/>
          <w:sz w:val="32"/>
          <w:highlight w:val="none"/>
          <w:lang w:val="en-US" w:eastAsia="zh-CN"/>
        </w:rPr>
        <w:t>有</w:t>
      </w:r>
      <w:r>
        <w:rPr>
          <w:rFonts w:ascii="仿宋" w:hAnsi="仿宋" w:hint="eastAsia"/>
          <w:sz w:val="32"/>
          <w:highlight w:val="none"/>
        </w:rPr>
        <w:t>四种交纳形式，分别为</w:t>
      </w:r>
      <w:r>
        <w:rPr>
          <w:rFonts w:ascii="仿宋" w:hAnsi="仿宋" w:hint="eastAsia"/>
          <w:sz w:val="32"/>
          <w:highlight w:val="none"/>
          <w:lang w:val="en-US" w:eastAsia="zh-CN"/>
        </w:rPr>
        <w:t>泉融通</w:t>
      </w:r>
      <w:r>
        <w:rPr>
          <w:rFonts w:ascii="仿宋" w:hAnsi="仿宋"/>
          <w:sz w:val="32"/>
          <w:highlight w:val="none"/>
        </w:rPr>
        <w:t>电子保函、</w:t>
      </w:r>
      <w:r>
        <w:rPr>
          <w:rFonts w:ascii="仿宋" w:hAnsi="仿宋" w:hint="eastAsia"/>
          <w:sz w:val="32"/>
          <w:highlight w:val="none"/>
        </w:rPr>
        <w:t>第三方电子保函（与中心合作的保函平台）</w:t>
      </w:r>
      <w:r>
        <w:rPr>
          <w:rFonts w:ascii="仿宋" w:hAnsi="仿宋" w:hint="eastAsia"/>
          <w:sz w:val="32"/>
          <w:highlight w:val="none"/>
          <w:lang w:eastAsia="zh-CN"/>
        </w:rPr>
        <w:t>、</w:t>
      </w:r>
      <w:r>
        <w:rPr>
          <w:rFonts w:ascii="仿宋" w:hAnsi="仿宋"/>
          <w:sz w:val="32"/>
          <w:highlight w:val="none"/>
        </w:rPr>
        <w:t>纸质保函和</w:t>
      </w:r>
      <w:r>
        <w:rPr>
          <w:rFonts w:ascii="仿宋" w:hAnsi="仿宋" w:hint="eastAsia"/>
          <w:sz w:val="32"/>
          <w:highlight w:val="none"/>
          <w:lang w:val="en-US" w:eastAsia="zh-CN"/>
        </w:rPr>
        <w:t>银行转账</w:t>
      </w:r>
      <w:r>
        <w:rPr>
          <w:rFonts w:ascii="仿宋" w:hAnsi="仿宋" w:hint="eastAsia"/>
          <w:sz w:val="32"/>
          <w:highlight w:val="none"/>
        </w:rPr>
        <w:t>。具体业务流程如下：</w:t>
      </w:r>
    </w:p>
    <w:p w14:paraId="4EEE8A66">
      <w:pPr>
        <w:pStyle w:val="style1"/>
        <w:rPr>
          <w:rFonts w:ascii="宋体" w:eastAsia="宋体" w:hAnsi="宋体" w:hint="eastAsia"/>
          <w:sz w:val="32"/>
          <w:szCs w:val="32"/>
          <w:highlight w:val="none"/>
          <w:lang w:val="en-US" w:eastAsia="zh-CN"/>
        </w:rPr>
      </w:pPr>
      <w:r>
        <w:rPr>
          <w:rFonts w:ascii="宋体" w:eastAsia="宋体" w:hAnsi="宋体" w:hint="eastAsia"/>
          <w:sz w:val="32"/>
          <w:szCs w:val="32"/>
          <w:highlight w:val="none"/>
          <w:lang w:val="en-US" w:eastAsia="zh-CN"/>
        </w:rPr>
        <w:t>1、泉融通电子保函申请</w:t>
      </w:r>
    </w:p>
    <w:p w14:paraId="4EA524B0">
      <w:pPr>
        <w:pStyle w:val="style2"/>
        <w:numPr>
          <w:ilvl w:val="0"/>
          <w:numId w:val="0"/>
        </w:numPr>
        <w:ind w:leftChars="0"/>
        <w:rPr>
          <w:rFonts w:ascii="仿宋" w:hAnsi="仿宋" w:hint="eastAsia"/>
          <w:sz w:val="28"/>
          <w:highlight w:val="none"/>
          <w:lang w:val="en-US" w:eastAsia="zh-CN"/>
        </w:rPr>
      </w:pPr>
      <w:r>
        <w:rPr>
          <w:rFonts w:ascii="仿宋" w:hAnsi="仿宋" w:hint="eastAsia"/>
          <w:sz w:val="28"/>
          <w:highlight w:val="none"/>
          <w:lang w:val="en-US" w:eastAsia="zh-CN"/>
        </w:rPr>
        <w:t>1.1泉融通电子保函业务流程图</w:t>
      </w:r>
    </w:p>
    <w:p w14:paraId="180FCF62">
      <w:pPr>
        <w:pStyle w:val="style0"/>
        <w:rPr>
          <w:rFonts w:hint="default"/>
          <w:highlight w:val="none"/>
          <w:lang w:val="en-US" w:eastAsia="zh-CN"/>
        </w:rPr>
      </w:pPr>
      <w:r>
        <w:rPr>
          <w:highlight w:val="none"/>
        </w:rPr>
        <w:drawing>
          <wp:inline distL="0" distT="0" distB="0" distR="0">
            <wp:extent cx="5274310" cy="6686550"/>
            <wp:effectExtent l="0" t="0" r="2540" b="0"/>
            <wp:docPr id="1026"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2" cstate="print"/>
                    <a:srcRect l="0" t="0" r="0" b="0"/>
                    <a:stretch/>
                  </pic:blipFill>
                  <pic:spPr>
                    <a:xfrm rot="0">
                      <a:off x="0" y="0"/>
                      <a:ext cx="5274310" cy="6686550"/>
                    </a:xfrm>
                    <a:prstGeom prst="rect"/>
                    <a:ln>
                      <a:noFill/>
                    </a:ln>
                  </pic:spPr>
                </pic:pic>
              </a:graphicData>
            </a:graphic>
          </wp:inline>
        </w:drawing>
      </w:r>
    </w:p>
    <w:p w14:paraId="670CAE49">
      <w:pPr>
        <w:pStyle w:val="style2"/>
        <w:numPr>
          <w:ilvl w:val="0"/>
          <w:numId w:val="0"/>
        </w:numPr>
        <w:ind w:leftChars="0"/>
        <w:rPr>
          <w:rFonts w:ascii="仿宋" w:hAnsi="仿宋" w:hint="default"/>
          <w:sz w:val="28"/>
          <w:highlight w:val="none"/>
          <w:lang w:val="en-US" w:eastAsia="zh-CN"/>
        </w:rPr>
      </w:pPr>
      <w:r>
        <w:rPr>
          <w:rFonts w:ascii="仿宋" w:hAnsi="仿宋" w:hint="eastAsia"/>
          <w:sz w:val="28"/>
          <w:highlight w:val="none"/>
          <w:lang w:val="en-US" w:eastAsia="zh-CN"/>
        </w:rPr>
        <w:t>1.2泉融通电子保函业务流程</w:t>
      </w:r>
    </w:p>
    <w:p w14:paraId="6BC22639">
      <w:pPr>
        <w:pStyle w:val="style179"/>
        <w:numPr>
          <w:ilvl w:val="0"/>
          <w:numId w:val="1"/>
        </w:numPr>
        <w:ind w:firstLineChars="0"/>
        <w:rPr>
          <w:rFonts w:ascii="仿宋" w:hAnsi="仿宋"/>
          <w:highlight w:val="none"/>
        </w:rPr>
      </w:pPr>
      <w:r>
        <w:rPr>
          <w:rFonts w:ascii="仿宋" w:hAnsi="仿宋" w:hint="eastAsia"/>
          <w:highlight w:val="none"/>
        </w:rPr>
        <w:t>使用ca</w:t>
      </w:r>
      <w:r>
        <w:rPr>
          <w:rFonts w:ascii="仿宋" w:hAnsi="仿宋"/>
          <w:highlight w:val="none"/>
        </w:rPr>
        <w:t>登录</w:t>
      </w:r>
      <w:r>
        <w:rPr>
          <w:rFonts w:ascii="仿宋" w:hAnsi="仿宋" w:hint="eastAsia"/>
          <w:highlight w:val="none"/>
        </w:rPr>
        <w:t>济南公共资源交易中心，进入</w:t>
      </w:r>
      <w:r>
        <w:rPr>
          <w:rFonts w:ascii="仿宋" w:hAnsi="仿宋" w:hint="eastAsia"/>
          <w:highlight w:val="none"/>
          <w:lang w:val="en-US" w:eastAsia="zh-CN"/>
        </w:rPr>
        <w:t>电子保函平台</w:t>
      </w:r>
      <w:r>
        <w:rPr>
          <w:rFonts w:ascii="仿宋" w:hAnsi="仿宋" w:hint="eastAsia"/>
          <w:highlight w:val="none"/>
        </w:rPr>
        <w:t>。</w:t>
      </w:r>
    </w:p>
    <w:p w14:paraId="1C08A946">
      <w:pPr>
        <w:pStyle w:val="style0"/>
        <w:rPr>
          <w:rFonts w:ascii="仿宋" w:hAnsi="仿宋"/>
          <w:highlight w:val="none"/>
        </w:rPr>
      </w:pPr>
      <w:r>
        <w:rPr>
          <w:rFonts w:ascii="仿宋" w:hAnsi="仿宋"/>
          <w:color w:val="ff0000"/>
          <w:highlight w:val="none"/>
        </w:rPr>
        <w:t>注意</w:t>
      </w:r>
      <w:r>
        <w:rPr>
          <w:rFonts w:ascii="仿宋" w:hAnsi="仿宋" w:hint="eastAsia"/>
          <w:color w:val="ff0000"/>
          <w:highlight w:val="none"/>
        </w:rPr>
        <w:t>事项</w:t>
      </w:r>
      <w:r>
        <w:rPr>
          <w:rFonts w:ascii="仿宋" w:hAnsi="仿宋" w:hint="eastAsia"/>
          <w:highlight w:val="none"/>
        </w:rPr>
        <w:t>：</w:t>
      </w:r>
      <w:r>
        <w:rPr>
          <w:rFonts w:ascii="仿宋" w:hAnsi="仿宋"/>
          <w:highlight w:val="none"/>
        </w:rPr>
        <w:t>投标人</w:t>
      </w:r>
      <w:r>
        <w:rPr>
          <w:rFonts w:ascii="仿宋" w:hAnsi="仿宋" w:hint="eastAsia"/>
          <w:highlight w:val="none"/>
        </w:rPr>
        <w:t>才可以进行保函申请</w:t>
      </w:r>
      <w:r>
        <w:rPr>
          <w:rFonts w:ascii="仿宋" w:hAnsi="仿宋"/>
          <w:highlight w:val="none"/>
        </w:rPr>
        <w:t>操作</w:t>
      </w:r>
      <w:r>
        <w:rPr>
          <w:rFonts w:ascii="仿宋" w:hAnsi="仿宋" w:hint="eastAsia"/>
          <w:highlight w:val="none"/>
        </w:rPr>
        <w:t>。</w:t>
      </w:r>
    </w:p>
    <w:p w14:paraId="7F672675">
      <w:pPr>
        <w:pStyle w:val="style0"/>
        <w:rPr>
          <w:rFonts w:ascii="仿宋" w:hAnsi="仿宋" w:hint="eastAsia"/>
          <w:highlight w:val="none"/>
        </w:rPr>
      </w:pPr>
      <w:r>
        <w:rPr>
          <w:rFonts w:ascii="仿宋" w:hAnsi="仿宋" w:hint="eastAsia"/>
          <w:highlight w:val="none"/>
        </w:rPr>
        <w:t>②投标企业通过</w:t>
      </w:r>
      <w:r>
        <w:rPr>
          <w:rFonts w:ascii="仿宋" w:hAnsi="仿宋" w:hint="eastAsia"/>
          <w:highlight w:val="none"/>
          <w:lang w:val="en-US" w:eastAsia="zh-CN"/>
        </w:rPr>
        <w:t>投标保函菜单</w:t>
      </w:r>
      <w:r>
        <w:rPr>
          <w:rFonts w:ascii="仿宋" w:hAnsi="仿宋"/>
          <w:highlight w:val="none"/>
        </w:rPr>
        <w:t>，</w:t>
      </w:r>
      <w:r>
        <w:rPr>
          <w:rFonts w:ascii="仿宋" w:hAnsi="仿宋" w:hint="eastAsia"/>
          <w:highlight w:val="none"/>
        </w:rPr>
        <w:t>选择</w:t>
      </w:r>
      <w:r>
        <w:rPr>
          <w:rFonts w:ascii="仿宋" w:hAnsi="仿宋" w:hint="eastAsia"/>
          <w:highlight w:val="none"/>
          <w:lang w:val="en-US" w:eastAsia="zh-CN"/>
        </w:rPr>
        <w:t>对应项目，发起电子保函申请</w:t>
      </w:r>
      <w:r>
        <w:rPr>
          <w:rFonts w:ascii="仿宋" w:hAnsi="仿宋" w:hint="eastAsia"/>
          <w:highlight w:val="none"/>
        </w:rPr>
        <w:t>。</w:t>
      </w:r>
    </w:p>
    <w:p w14:paraId="7C421918">
      <w:pPr>
        <w:pStyle w:val="style0"/>
        <w:rPr>
          <w:rFonts w:ascii="仿宋" w:eastAsia="仿宋" w:hAnsi="仿宋" w:hint="default"/>
          <w:highlight w:val="none"/>
          <w:lang w:val="en-US" w:eastAsia="zh-CN"/>
        </w:rPr>
      </w:pPr>
      <w:r>
        <w:rPr>
          <w:rFonts w:ascii="仿宋" w:hAnsi="仿宋"/>
          <w:color w:val="ff0000"/>
          <w:highlight w:val="none"/>
        </w:rPr>
        <w:t>注意</w:t>
      </w:r>
      <w:r>
        <w:rPr>
          <w:rFonts w:ascii="仿宋" w:hAnsi="仿宋" w:hint="eastAsia"/>
          <w:color w:val="ff0000"/>
          <w:highlight w:val="none"/>
        </w:rPr>
        <w:t>事项</w:t>
      </w:r>
      <w:r>
        <w:rPr>
          <w:rFonts w:ascii="仿宋" w:hAnsi="仿宋" w:hint="eastAsia"/>
          <w:highlight w:val="none"/>
        </w:rPr>
        <w:t>：</w:t>
      </w:r>
      <w:r>
        <w:rPr>
          <w:rFonts w:ascii="仿宋" w:hAnsi="仿宋" w:hint="eastAsia"/>
          <w:highlight w:val="none"/>
          <w:lang w:val="en-US" w:eastAsia="zh-CN"/>
        </w:rPr>
        <w:t>仅支持电子保函方式缴纳保证金的项目才能发起电子保函申请。</w:t>
      </w:r>
    </w:p>
    <w:p w14:paraId="1F230066">
      <w:pPr>
        <w:pStyle w:val="style179"/>
        <w:numPr>
          <w:ilvl w:val="0"/>
          <w:numId w:val="0"/>
        </w:numPr>
        <w:ind w:leftChars="0"/>
        <w:rPr>
          <w:rFonts w:ascii="仿宋" w:hAnsi="仿宋"/>
          <w:highlight w:val="none"/>
        </w:rPr>
      </w:pPr>
      <w:r>
        <w:rPr>
          <w:rFonts w:ascii="仿宋" w:hAnsi="仿宋" w:hint="eastAsia"/>
          <w:highlight w:val="none"/>
          <w:lang w:val="en-US" w:eastAsia="zh-CN"/>
        </w:rPr>
        <w:t>③</w:t>
      </w:r>
      <w:r>
        <w:rPr>
          <w:rFonts w:ascii="仿宋" w:hAnsi="仿宋" w:hint="eastAsia"/>
          <w:highlight w:val="none"/>
        </w:rPr>
        <w:t>进入保函申请</w:t>
      </w:r>
      <w:r>
        <w:rPr>
          <w:rFonts w:ascii="仿宋" w:hAnsi="仿宋" w:hint="eastAsia"/>
          <w:highlight w:val="none"/>
          <w:lang w:val="en-US" w:eastAsia="zh-CN"/>
        </w:rPr>
        <w:t>流程</w:t>
      </w:r>
      <w:r>
        <w:rPr>
          <w:rFonts w:ascii="仿宋" w:hAnsi="仿宋" w:hint="eastAsia"/>
          <w:highlight w:val="none"/>
        </w:rPr>
        <w:t>，</w:t>
      </w:r>
      <w:r>
        <w:rPr>
          <w:rFonts w:ascii="仿宋" w:hAnsi="仿宋" w:hint="eastAsia"/>
          <w:highlight w:val="none"/>
          <w:lang w:val="en-US" w:eastAsia="zh-CN"/>
        </w:rPr>
        <w:t>根据页面办理流程指引进行开函机构选择、投保信息确认、在线签署投标协议、完成保费支付</w:t>
      </w:r>
      <w:r>
        <w:rPr>
          <w:rFonts w:ascii="仿宋" w:hAnsi="仿宋" w:hint="eastAsia"/>
          <w:highlight w:val="none"/>
        </w:rPr>
        <w:t>。</w:t>
      </w:r>
    </w:p>
    <w:p w14:paraId="77D1CAA4">
      <w:pPr>
        <w:pStyle w:val="style179"/>
        <w:numPr>
          <w:ilvl w:val="0"/>
          <w:numId w:val="0"/>
        </w:numPr>
        <w:ind w:leftChars="0"/>
        <w:rPr>
          <w:rFonts w:ascii="仿宋" w:hAnsi="仿宋" w:hint="eastAsia"/>
          <w:highlight w:val="none"/>
        </w:rPr>
      </w:pPr>
      <w:r>
        <w:rPr>
          <w:rFonts w:ascii="仿宋" w:hAnsi="仿宋" w:hint="eastAsia"/>
          <w:highlight w:val="none"/>
          <w:lang w:val="en-US" w:eastAsia="zh-CN"/>
        </w:rPr>
        <w:t>④保费支付完成后，可通过保函订单菜单查看/下载电子保函和发票</w:t>
      </w:r>
      <w:r>
        <w:rPr>
          <w:rFonts w:ascii="仿宋" w:hAnsi="仿宋" w:hint="eastAsia"/>
          <w:highlight w:val="none"/>
        </w:rPr>
        <w:t>。</w:t>
      </w:r>
    </w:p>
    <w:p w14:paraId="2C853B25">
      <w:pPr>
        <w:pStyle w:val="style179"/>
        <w:numPr>
          <w:ilvl w:val="0"/>
          <w:numId w:val="0"/>
        </w:numPr>
        <w:ind w:leftChars="0"/>
        <w:rPr>
          <w:rFonts w:ascii="仿宋" w:hAnsi="仿宋" w:hint="eastAsia"/>
          <w:highlight w:val="none"/>
          <w:lang w:val="en-US" w:eastAsia="zh-CN"/>
        </w:rPr>
      </w:pPr>
      <w:r>
        <w:rPr>
          <w:rFonts w:ascii="仿宋" w:hAnsi="仿宋" w:hint="eastAsia"/>
          <w:highlight w:val="none"/>
          <w:lang w:val="en-US" w:eastAsia="zh-CN"/>
        </w:rPr>
        <w:t>⑤电子保函操作手册：</w:t>
      </w:r>
    </w:p>
    <w:p w14:paraId="4B364106">
      <w:pPr>
        <w:pStyle w:val="style2"/>
        <w:numPr>
          <w:ilvl w:val="0"/>
          <w:numId w:val="0"/>
        </w:numPr>
        <w:ind w:leftChars="0"/>
        <w:rPr>
          <w:rFonts w:ascii="仿宋" w:hAnsi="仿宋" w:hint="eastAsia"/>
          <w:sz w:val="28"/>
          <w:highlight w:val="none"/>
          <w:lang w:val="en-US" w:eastAsia="zh-CN"/>
        </w:rPr>
      </w:pPr>
      <w:r>
        <w:rPr>
          <w:rFonts w:ascii="仿宋" w:hAnsi="仿宋" w:hint="eastAsia"/>
          <w:sz w:val="28"/>
          <w:highlight w:val="none"/>
          <w:lang w:val="en-US" w:eastAsia="zh-CN"/>
        </w:rPr>
        <w:t>1.3泉融通电子保函开函图解</w:t>
      </w:r>
      <w:bookmarkStart w:id="0" w:name="_GoBack"/>
      <w:bookmarkEnd w:id="0"/>
    </w:p>
    <w:p w14:paraId="3538FB72">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jc w:val="both"/>
        <w:textAlignment w:val="auto"/>
        <w:rPr>
          <w:rFonts w:ascii="仿宋" w:cs="仿宋" w:eastAsia="仿宋" w:hAnsi="仿宋" w:hint="default"/>
          <w:sz w:val="28"/>
          <w:szCs w:val="28"/>
          <w:highlight w:val="none"/>
          <w:lang w:val="en-US" w:eastAsia="zh-CN"/>
        </w:rPr>
      </w:pPr>
      <w:r>
        <w:rPr>
          <w:rFonts w:ascii="仿宋" w:cs="仿宋" w:hAnsi="仿宋" w:hint="eastAsia"/>
          <w:sz w:val="28"/>
          <w:szCs w:val="28"/>
          <w:highlight w:val="none"/>
          <w:lang w:val="en-US" w:eastAsia="zh-CN"/>
        </w:rPr>
        <w:t>①办理入口：</w:t>
      </w:r>
      <w:r>
        <w:rPr>
          <w:rFonts w:ascii="仿宋" w:cs="仿宋" w:eastAsia="仿宋" w:hAnsi="仿宋" w:hint="eastAsia"/>
          <w:sz w:val="28"/>
          <w:szCs w:val="28"/>
          <w:highlight w:val="none"/>
          <w:lang w:val="en-US" w:eastAsia="zh-CN"/>
        </w:rPr>
        <w:t>用户登入济南公共资源交易中心交易平台后，在用户首页通过点击【电子保函入口】进入办理：</w:t>
      </w:r>
    </w:p>
    <w:p w14:paraId="41693B56">
      <w:pPr>
        <w:pStyle w:val="style0"/>
        <w:widowControl/>
        <w:jc w:val="left"/>
        <w:rPr>
          <w:highlight w:val="none"/>
        </w:rPr>
      </w:pPr>
      <w:r>
        <w:rPr>
          <w:highlight w:val="none"/>
        </w:rPr>
        <w:drawing>
          <wp:inline distL="0" distT="0" distB="0" distR="0">
            <wp:extent cx="5273040" cy="2703830"/>
            <wp:effectExtent l="9525" t="9525" r="13334" b="10795"/>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5273040" cy="2703830"/>
                    </a:xfrm>
                    <a:prstGeom prst="rect"/>
                    <a:ln cmpd="sng" cap="flat" w="6350">
                      <a:solidFill>
                        <a:srgbClr val="000000"/>
                      </a:solidFill>
                      <a:prstDash val="solid"/>
                      <a:round/>
                      <a:headEnd/>
                      <a:tailEnd/>
                    </a:ln>
                  </pic:spPr>
                </pic:pic>
              </a:graphicData>
            </a:graphic>
          </wp:inline>
        </w:drawing>
      </w:r>
    </w:p>
    <w:p w14:paraId="54813A29">
      <w:pPr>
        <w:pStyle w:val="style0"/>
        <w:numPr>
          <w:ilvl w:val="0"/>
          <w:numId w:val="0"/>
        </w:numPr>
        <w:rPr>
          <w:rFonts w:ascii="仿宋" w:cs="仿宋" w:eastAsia="仿宋" w:hAnsi="仿宋" w:hint="eastAsia"/>
          <w:b/>
          <w:bCs/>
          <w:sz w:val="28"/>
          <w:szCs w:val="28"/>
          <w:highlight w:val="none"/>
          <w:lang w:val="en-US" w:eastAsia="zh-CN"/>
        </w:rPr>
      </w:pPr>
    </w:p>
    <w:p w14:paraId="53F0CFF8">
      <w:pPr>
        <w:pStyle w:val="style0"/>
        <w:numPr>
          <w:ilvl w:val="0"/>
          <w:numId w:val="0"/>
        </w:numPr>
        <w:rPr>
          <w:rFonts w:ascii="仿宋" w:cs="仿宋" w:eastAsia="仿宋" w:hAnsi="仿宋" w:hint="eastAsia"/>
          <w:b/>
          <w:bCs/>
          <w:sz w:val="28"/>
          <w:szCs w:val="28"/>
          <w:highlight w:val="none"/>
          <w:lang w:val="en-US" w:eastAsia="zh-CN"/>
        </w:rPr>
      </w:pPr>
    </w:p>
    <w:p w14:paraId="11541160">
      <w:pPr>
        <w:pStyle w:val="style0"/>
        <w:keepNext w:val="false"/>
        <w:keepLines w:val="false"/>
        <w:pageBreakBefore w:val="false"/>
        <w:widowControl/>
        <w:kinsoku/>
        <w:wordWrap/>
        <w:overflowPunct/>
        <w:topLinePunct w:val="false"/>
        <w:autoSpaceDE/>
        <w:autoSpaceDN/>
        <w:bidi w:val="false"/>
        <w:adjustRightInd/>
        <w:snapToGrid/>
        <w:jc w:val="left"/>
        <w:textAlignment w:val="auto"/>
        <w:rPr>
          <w:rFonts w:eastAsia="等线" w:hint="default"/>
          <w:highlight w:val="none"/>
          <w:lang w:val="en-US" w:eastAsia="zh-CN"/>
        </w:rPr>
      </w:pPr>
      <w:r>
        <w:rPr>
          <w:rFonts w:ascii="仿宋" w:cs="仿宋" w:hAnsi="仿宋" w:hint="eastAsia"/>
          <w:sz w:val="28"/>
          <w:szCs w:val="28"/>
          <w:highlight w:val="none"/>
          <w:lang w:val="en-US" w:eastAsia="zh-CN"/>
        </w:rPr>
        <w:t>②选择项目：</w:t>
      </w:r>
      <w:r>
        <w:rPr>
          <w:rFonts w:ascii="仿宋" w:cs="仿宋" w:eastAsia="仿宋" w:hAnsi="仿宋" w:hint="eastAsia"/>
          <w:sz w:val="28"/>
          <w:szCs w:val="28"/>
          <w:highlight w:val="none"/>
          <w:lang w:val="en-US" w:eastAsia="zh-CN"/>
        </w:rPr>
        <w:t>通过办理入口进入电子保函平台后，通过投标保函或者保函申请选择投标保函，即可进入投保项目列表，选择或搜索对应的投保项目点击【选择】即可进入投保流程</w:t>
      </w:r>
    </w:p>
    <w:p w14:paraId="645F3C8E">
      <w:pPr>
        <w:pStyle w:val="style0"/>
        <w:widowControl/>
        <w:jc w:val="left"/>
        <w:rPr>
          <w:rFonts w:ascii="仿宋" w:cs="仿宋" w:eastAsia="仿宋" w:hAnsi="仿宋" w:hint="eastAsia"/>
          <w:color w:val="000000"/>
          <w:kern w:val="0"/>
          <w:sz w:val="28"/>
          <w:szCs w:val="28"/>
          <w:highlight w:val="none"/>
        </w:rPr>
      </w:pPr>
      <w:r>
        <w:rPr>
          <w:highlight w:val="none"/>
        </w:rPr>
        <w:drawing>
          <wp:inline distL="0" distT="0" distB="0" distR="0">
            <wp:extent cx="5271135" cy="2639695"/>
            <wp:effectExtent l="9525" t="9525" r="15240" b="17780"/>
            <wp:docPr id="1028"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4" cstate="print"/>
                    <a:srcRect l="0" t="0" r="0" b="0"/>
                    <a:stretch/>
                  </pic:blipFill>
                  <pic:spPr>
                    <a:xfrm rot="0">
                      <a:off x="0" y="0"/>
                      <a:ext cx="5271135" cy="2639695"/>
                    </a:xfrm>
                    <a:prstGeom prst="rect"/>
                    <a:ln cmpd="sng" cap="flat" w="6350">
                      <a:solidFill>
                        <a:srgbClr val="000000"/>
                      </a:solidFill>
                      <a:prstDash val="solid"/>
                      <a:round/>
                      <a:headEnd/>
                      <a:tailEnd/>
                    </a:ln>
                  </pic:spPr>
                </pic:pic>
              </a:graphicData>
            </a:graphic>
          </wp:inline>
        </w:drawing>
      </w:r>
    </w:p>
    <w:p w14:paraId="7A0920A1">
      <w:pPr>
        <w:pStyle w:val="style0"/>
        <w:rPr>
          <w:rFonts w:ascii="仿宋" w:cs="仿宋" w:eastAsia="仿宋" w:hAnsi="仿宋" w:hint="eastAsia"/>
          <w:sz w:val="28"/>
          <w:szCs w:val="28"/>
          <w:highlight w:val="none"/>
        </w:rPr>
      </w:pPr>
      <w:r>
        <w:rPr>
          <w:highlight w:val="none"/>
        </w:rPr>
        <w:drawing>
          <wp:inline distL="0" distT="0" distB="0" distR="0">
            <wp:extent cx="5261610" cy="2492375"/>
            <wp:effectExtent l="9525" t="9525" r="24765" b="12700"/>
            <wp:docPr id="1029"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5"/>
                    <pic:cNvPicPr/>
                  </pic:nvPicPr>
                  <pic:blipFill>
                    <a:blip r:embed="rId5" cstate="print"/>
                    <a:srcRect l="0" t="0" r="0" b="0"/>
                    <a:stretch/>
                  </pic:blipFill>
                  <pic:spPr>
                    <a:xfrm rot="0">
                      <a:off x="0" y="0"/>
                      <a:ext cx="5261610" cy="2492375"/>
                    </a:xfrm>
                    <a:prstGeom prst="rect"/>
                    <a:ln cmpd="sng" cap="flat" w="6350">
                      <a:solidFill>
                        <a:srgbClr val="000000"/>
                      </a:solidFill>
                      <a:prstDash val="solid"/>
                      <a:round/>
                      <a:headEnd/>
                      <a:tailEnd/>
                    </a:ln>
                  </pic:spPr>
                </pic:pic>
              </a:graphicData>
            </a:graphic>
          </wp:inline>
        </w:drawing>
      </w:r>
    </w:p>
    <w:p w14:paraId="522863C2">
      <w:pPr>
        <w:pStyle w:val="style0"/>
        <w:rPr>
          <w:highlight w:val="none"/>
        </w:rPr>
      </w:pPr>
      <w:r>
        <w:rPr>
          <w:highlight w:val="none"/>
        </w:rPr>
        <w:drawing>
          <wp:inline distL="0" distT="0" distB="0" distR="0">
            <wp:extent cx="5263515" cy="2441575"/>
            <wp:effectExtent l="9525" t="9525" r="22860" b="25400"/>
            <wp:docPr id="1030"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6" cstate="print"/>
                    <a:srcRect l="0" t="0" r="0" b="0"/>
                    <a:stretch/>
                  </pic:blipFill>
                  <pic:spPr>
                    <a:xfrm rot="0">
                      <a:off x="0" y="0"/>
                      <a:ext cx="5263515" cy="2441575"/>
                    </a:xfrm>
                    <a:prstGeom prst="rect"/>
                    <a:ln cmpd="sng" cap="flat" w="6350">
                      <a:solidFill>
                        <a:srgbClr val="000000"/>
                      </a:solidFill>
                      <a:prstDash val="solid"/>
                      <a:round/>
                      <a:headEnd/>
                      <a:tailEnd/>
                    </a:ln>
                  </pic:spPr>
                </pic:pic>
              </a:graphicData>
            </a:graphic>
          </wp:inline>
        </w:drawing>
      </w:r>
    </w:p>
    <w:p w14:paraId="70498A87">
      <w:pPr>
        <w:pStyle w:val="style0"/>
        <w:rPr>
          <w:rFonts w:hint="eastAsia"/>
          <w:highlight w:val="none"/>
        </w:rPr>
      </w:pPr>
    </w:p>
    <w:p w14:paraId="3651214C">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仿宋" w:cs="仿宋" w:eastAsia="仿宋" w:hAnsi="仿宋" w:hint="default"/>
          <w:b/>
          <w:bCs/>
          <w:sz w:val="28"/>
          <w:szCs w:val="28"/>
          <w:highlight w:val="none"/>
          <w:lang w:val="en-US" w:eastAsia="zh-CN"/>
        </w:rPr>
      </w:pPr>
      <w:r>
        <w:rPr>
          <w:rFonts w:ascii="仿宋" w:cs="仿宋" w:hAnsi="仿宋" w:hint="eastAsia"/>
          <w:sz w:val="28"/>
          <w:szCs w:val="28"/>
          <w:highlight w:val="none"/>
          <w:lang w:val="en-US" w:eastAsia="zh-CN"/>
        </w:rPr>
        <w:t>③选择金融机构：</w:t>
      </w:r>
      <w:r>
        <w:rPr>
          <w:rFonts w:ascii="仿宋" w:cs="仿宋" w:eastAsia="仿宋" w:hAnsi="仿宋" w:hint="eastAsia"/>
          <w:sz w:val="28"/>
          <w:szCs w:val="28"/>
          <w:highlight w:val="none"/>
          <w:lang w:val="en-US" w:eastAsia="zh-CN"/>
        </w:rPr>
        <w:t>选择项目后即可选择投保金融机构（实际金融机构和收费标准以申请时实际展示的金融机构列表为准）</w:t>
      </w:r>
    </w:p>
    <w:p w14:paraId="0A885531">
      <w:pPr>
        <w:pStyle w:val="style0"/>
        <w:rPr>
          <w:rFonts w:hint="eastAsia"/>
          <w:highlight w:val="none"/>
        </w:rPr>
      </w:pPr>
      <w:r>
        <w:rPr>
          <w:rFonts w:ascii="仿宋" w:cs="仿宋" w:eastAsia="仿宋" w:hAnsi="仿宋" w:hint="eastAsia"/>
          <w:sz w:val="28"/>
          <w:szCs w:val="28"/>
          <w:highlight w:val="none"/>
          <w:lang w:eastAsia="zh-CN"/>
        </w:rPr>
        <w:drawing>
          <wp:inline distL="0" distT="0" distB="0" distR="0">
            <wp:extent cx="5272405" cy="2284730"/>
            <wp:effectExtent l="9525" t="9525" r="13970" b="10795"/>
            <wp:docPr id="1031" name="图片 14" descr="173381417636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4"/>
                    <pic:cNvPicPr/>
                  </pic:nvPicPr>
                  <pic:blipFill>
                    <a:blip r:embed="rId7" cstate="print"/>
                    <a:srcRect l="0" t="0" r="0" b="0"/>
                    <a:stretch/>
                  </pic:blipFill>
                  <pic:spPr>
                    <a:xfrm rot="0">
                      <a:off x="0" y="0"/>
                      <a:ext cx="5272405" cy="2284730"/>
                    </a:xfrm>
                    <a:prstGeom prst="rect"/>
                    <a:ln cmpd="sng" cap="flat" w="6350">
                      <a:solidFill>
                        <a:srgbClr val="000000"/>
                      </a:solidFill>
                      <a:prstDash val="solid"/>
                      <a:round/>
                      <a:headEnd/>
                      <a:tailEnd/>
                    </a:ln>
                  </pic:spPr>
                </pic:pic>
              </a:graphicData>
            </a:graphic>
          </wp:inline>
        </w:drawing>
      </w:r>
    </w:p>
    <w:p w14:paraId="18798E12">
      <w:pPr>
        <w:pStyle w:val="style0"/>
        <w:numPr>
          <w:ilvl w:val="0"/>
          <w:numId w:val="0"/>
        </w:numPr>
        <w:ind w:firstLine="562" w:firstLineChars="200"/>
        <w:rPr>
          <w:rFonts w:ascii="仿宋" w:cs="仿宋" w:hAnsi="仿宋" w:hint="eastAsia"/>
          <w:b/>
          <w:bCs/>
          <w:sz w:val="28"/>
          <w:szCs w:val="28"/>
          <w:highlight w:val="none"/>
          <w:lang w:val="en-US" w:eastAsia="zh-CN"/>
        </w:rPr>
      </w:pPr>
    </w:p>
    <w:p w14:paraId="5FDAF689">
      <w:pPr>
        <w:pStyle w:val="style0"/>
        <w:numPr>
          <w:ilvl w:val="0"/>
          <w:numId w:val="0"/>
        </w:numPr>
        <w:ind w:firstLine="562" w:firstLineChars="200"/>
        <w:rPr>
          <w:rFonts w:ascii="仿宋" w:cs="仿宋" w:hAnsi="仿宋" w:hint="eastAsia"/>
          <w:b/>
          <w:bCs/>
          <w:sz w:val="28"/>
          <w:szCs w:val="28"/>
          <w:highlight w:val="none"/>
          <w:lang w:val="en-US" w:eastAsia="zh-CN"/>
        </w:rPr>
      </w:pPr>
    </w:p>
    <w:p w14:paraId="4ABDA3B0">
      <w:pPr>
        <w:pStyle w:val="style0"/>
        <w:numPr>
          <w:ilvl w:val="0"/>
          <w:numId w:val="0"/>
        </w:numPr>
        <w:ind w:firstLine="562" w:firstLineChars="200"/>
        <w:rPr>
          <w:rFonts w:ascii="仿宋" w:cs="仿宋" w:hAnsi="仿宋" w:hint="eastAsia"/>
          <w:b/>
          <w:bCs/>
          <w:sz w:val="28"/>
          <w:szCs w:val="28"/>
          <w:highlight w:val="none"/>
          <w:lang w:val="en-US" w:eastAsia="zh-CN"/>
        </w:rPr>
      </w:pPr>
    </w:p>
    <w:p w14:paraId="6CD6E77A">
      <w:pPr>
        <w:pStyle w:val="style0"/>
        <w:numPr>
          <w:ilvl w:val="0"/>
          <w:numId w:val="0"/>
        </w:numPr>
        <w:ind w:firstLine="562" w:firstLineChars="200"/>
        <w:rPr>
          <w:rFonts w:ascii="仿宋" w:cs="仿宋" w:hAnsi="仿宋" w:hint="eastAsia"/>
          <w:b/>
          <w:bCs/>
          <w:sz w:val="28"/>
          <w:szCs w:val="28"/>
          <w:highlight w:val="none"/>
          <w:lang w:val="en-US" w:eastAsia="zh-CN"/>
        </w:rPr>
      </w:pPr>
    </w:p>
    <w:p w14:paraId="034A0ED4">
      <w:pPr>
        <w:pStyle w:val="style0"/>
        <w:numPr>
          <w:ilvl w:val="0"/>
          <w:numId w:val="0"/>
        </w:numPr>
        <w:ind w:firstLine="562" w:firstLineChars="200"/>
        <w:rPr>
          <w:rFonts w:ascii="仿宋" w:cs="仿宋" w:hAnsi="仿宋" w:hint="eastAsia"/>
          <w:b/>
          <w:bCs/>
          <w:sz w:val="28"/>
          <w:szCs w:val="28"/>
          <w:highlight w:val="none"/>
          <w:lang w:val="en-US" w:eastAsia="zh-CN"/>
        </w:rPr>
      </w:pPr>
    </w:p>
    <w:p w14:paraId="2D71D4AB">
      <w:pPr>
        <w:pStyle w:val="style0"/>
        <w:numPr>
          <w:ilvl w:val="0"/>
          <w:numId w:val="0"/>
        </w:numPr>
        <w:ind w:firstLine="562" w:firstLineChars="200"/>
        <w:rPr>
          <w:rFonts w:ascii="仿宋" w:cs="仿宋" w:hAnsi="仿宋" w:hint="eastAsia"/>
          <w:b/>
          <w:bCs/>
          <w:sz w:val="28"/>
          <w:szCs w:val="28"/>
          <w:highlight w:val="none"/>
          <w:lang w:val="en-US" w:eastAsia="zh-CN"/>
        </w:rPr>
      </w:pPr>
    </w:p>
    <w:p w14:paraId="58C3CD4B">
      <w:pPr>
        <w:pStyle w:val="style0"/>
        <w:numPr>
          <w:ilvl w:val="0"/>
          <w:numId w:val="0"/>
        </w:numPr>
        <w:ind w:firstLine="562" w:firstLineChars="200"/>
        <w:rPr>
          <w:rFonts w:ascii="仿宋" w:cs="仿宋" w:hAnsi="仿宋" w:hint="eastAsia"/>
          <w:b/>
          <w:bCs/>
          <w:sz w:val="28"/>
          <w:szCs w:val="28"/>
          <w:highlight w:val="none"/>
          <w:lang w:val="en-US" w:eastAsia="zh-CN"/>
        </w:rPr>
      </w:pPr>
    </w:p>
    <w:p w14:paraId="65BDE3E4">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仿宋" w:cs="仿宋" w:eastAsia="仿宋" w:hAnsi="仿宋" w:hint="default"/>
          <w:b/>
          <w:bCs/>
          <w:sz w:val="28"/>
          <w:szCs w:val="28"/>
          <w:highlight w:val="none"/>
          <w:lang w:val="en-US" w:eastAsia="zh-CN"/>
        </w:rPr>
      </w:pPr>
      <w:r>
        <w:rPr>
          <w:rFonts w:ascii="仿宋" w:cs="仿宋" w:hAnsi="仿宋" w:hint="eastAsia"/>
          <w:sz w:val="28"/>
          <w:szCs w:val="28"/>
          <w:highlight w:val="none"/>
          <w:lang w:val="en-US" w:eastAsia="zh-CN"/>
        </w:rPr>
        <w:t>④确认投保信息：</w:t>
      </w:r>
      <w:r>
        <w:rPr>
          <w:rFonts w:ascii="仿宋" w:cs="仿宋" w:eastAsia="仿宋" w:hAnsi="仿宋" w:hint="eastAsia"/>
          <w:sz w:val="28"/>
          <w:szCs w:val="28"/>
          <w:highlight w:val="none"/>
          <w:lang w:val="en-US" w:eastAsia="zh-CN"/>
        </w:rPr>
        <w:t>选择金融机构后，进行投保信息确认，包括投保信息、开票信息等，确认无误后点击下一步进行投保协议签署</w:t>
      </w:r>
    </w:p>
    <w:p w14:paraId="078064AF">
      <w:pPr>
        <w:pStyle w:val="style0"/>
        <w:numPr>
          <w:ilvl w:val="0"/>
          <w:numId w:val="0"/>
        </w:numPr>
        <w:rPr>
          <w:rFonts w:ascii="仿宋" w:cs="仿宋" w:eastAsia="仿宋" w:hAnsi="仿宋" w:hint="eastAsia"/>
          <w:color w:val="000000"/>
          <w:kern w:val="0"/>
          <w:sz w:val="28"/>
          <w:szCs w:val="28"/>
          <w:highlight w:val="none"/>
        </w:rPr>
      </w:pPr>
      <w:r>
        <w:rPr>
          <w:highlight w:val="none"/>
        </w:rPr>
        <w:drawing>
          <wp:inline distL="0" distT="0" distB="0" distR="0">
            <wp:extent cx="5273040" cy="3239770"/>
            <wp:effectExtent l="9525" t="9525" r="13334" b="27305"/>
            <wp:docPr id="1032"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7"/>
                    <pic:cNvPicPr/>
                  </pic:nvPicPr>
                  <pic:blipFill>
                    <a:blip r:embed="rId8" cstate="print"/>
                    <a:srcRect l="0" t="0" r="0" b="0"/>
                    <a:stretch/>
                  </pic:blipFill>
                  <pic:spPr>
                    <a:xfrm rot="0">
                      <a:off x="0" y="0"/>
                      <a:ext cx="5273040" cy="3239770"/>
                    </a:xfrm>
                    <a:prstGeom prst="rect"/>
                    <a:ln cmpd="sng" cap="flat" w="6350">
                      <a:solidFill>
                        <a:srgbClr val="000000"/>
                      </a:solidFill>
                      <a:prstDash val="solid"/>
                      <a:round/>
                      <a:headEnd/>
                      <a:tailEnd/>
                    </a:ln>
                  </pic:spPr>
                </pic:pic>
              </a:graphicData>
            </a:graphic>
          </wp:inline>
        </w:drawing>
      </w:r>
    </w:p>
    <w:p w14:paraId="02C5E8FE">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仿宋" w:cs="仿宋" w:eastAsia="仿宋" w:hAnsi="仿宋" w:hint="default"/>
          <w:sz w:val="28"/>
          <w:szCs w:val="28"/>
          <w:highlight w:val="none"/>
          <w:lang w:val="en-US"/>
        </w:rPr>
      </w:pPr>
      <w:r>
        <w:rPr>
          <w:rFonts w:ascii="仿宋" w:cs="仿宋" w:hAnsi="仿宋" w:hint="eastAsia"/>
          <w:color w:val="000000"/>
          <w:kern w:val="0"/>
          <w:sz w:val="28"/>
          <w:szCs w:val="28"/>
          <w:highlight w:val="none"/>
          <w:lang w:val="en-US" w:eastAsia="zh-CN"/>
        </w:rPr>
        <w:t>⑤签署投保协议：</w:t>
      </w:r>
      <w:r>
        <w:rPr>
          <w:rFonts w:ascii="仿宋" w:cs="仿宋" w:eastAsia="仿宋" w:hAnsi="仿宋" w:hint="eastAsia"/>
          <w:color w:val="000000"/>
          <w:kern w:val="0"/>
          <w:sz w:val="28"/>
          <w:szCs w:val="28"/>
          <w:highlight w:val="none"/>
          <w:lang w:val="en-US" w:eastAsia="zh-CN"/>
        </w:rPr>
        <w:t>确认投保信息后即可选择在线签章的方式进行在线签署投保协议，完成签署后进入支付保费环节</w:t>
      </w:r>
    </w:p>
    <w:p w14:paraId="6E6DD89D">
      <w:pPr>
        <w:pStyle w:val="style0"/>
        <w:rPr>
          <w:highlight w:val="none"/>
        </w:rPr>
      </w:pPr>
      <w:r>
        <w:rPr>
          <w:highlight w:val="none"/>
        </w:rPr>
        <w:drawing>
          <wp:inline distL="0" distT="0" distB="0" distR="0">
            <wp:extent cx="5259070" cy="2313940"/>
            <wp:effectExtent l="9525" t="9525" r="27305" b="19685"/>
            <wp:docPr id="1033"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9" cstate="print"/>
                    <a:srcRect l="0" t="0" r="0" b="0"/>
                    <a:stretch/>
                  </pic:blipFill>
                  <pic:spPr>
                    <a:xfrm rot="0">
                      <a:off x="0" y="0"/>
                      <a:ext cx="5259070" cy="2313940"/>
                    </a:xfrm>
                    <a:prstGeom prst="rect"/>
                    <a:ln cmpd="sng" cap="flat" w="6350">
                      <a:solidFill>
                        <a:srgbClr val="000000"/>
                      </a:solidFill>
                      <a:prstDash val="solid"/>
                      <a:round/>
                      <a:headEnd/>
                      <a:tailEnd/>
                    </a:ln>
                  </pic:spPr>
                </pic:pic>
              </a:graphicData>
            </a:graphic>
          </wp:inline>
        </w:drawing>
      </w:r>
    </w:p>
    <w:p w14:paraId="6E878F24">
      <w:pPr>
        <w:pStyle w:val="style0"/>
        <w:rPr>
          <w:highlight w:val="none"/>
        </w:rPr>
      </w:pPr>
    </w:p>
    <w:p w14:paraId="68A08484">
      <w:pPr>
        <w:pStyle w:val="style0"/>
        <w:rPr>
          <w:rFonts w:hint="eastAsia"/>
          <w:highlight w:val="none"/>
        </w:rPr>
      </w:pPr>
    </w:p>
    <w:p w14:paraId="1595F0B5">
      <w:pPr>
        <w:pStyle w:val="style0"/>
        <w:numPr>
          <w:ilvl w:val="0"/>
          <w:numId w:val="0"/>
        </w:numPr>
        <w:ind w:firstLine="562" w:firstLineChars="200"/>
        <w:rPr>
          <w:rFonts w:ascii="仿宋" w:cs="仿宋" w:eastAsia="仿宋" w:hAnsi="仿宋" w:hint="default"/>
          <w:b/>
          <w:bCs/>
          <w:sz w:val="28"/>
          <w:szCs w:val="28"/>
          <w:highlight w:val="none"/>
          <w:lang w:val="en-US" w:eastAsia="zh-CN"/>
        </w:rPr>
      </w:pPr>
    </w:p>
    <w:p w14:paraId="4A3ADF07">
      <w:pPr>
        <w:pStyle w:val="style0"/>
        <w:numPr>
          <w:ilvl w:val="0"/>
          <w:numId w:val="0"/>
        </w:numPr>
        <w:ind w:firstLine="562" w:firstLineChars="200"/>
        <w:rPr>
          <w:rFonts w:ascii="仿宋" w:cs="仿宋" w:eastAsia="仿宋" w:hAnsi="仿宋" w:hint="default"/>
          <w:b/>
          <w:bCs/>
          <w:sz w:val="28"/>
          <w:szCs w:val="28"/>
          <w:highlight w:val="none"/>
          <w:lang w:val="en-US" w:eastAsia="zh-CN"/>
        </w:rPr>
      </w:pPr>
    </w:p>
    <w:p w14:paraId="7C43949F">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仿宋" w:cs="仿宋" w:eastAsia="仿宋" w:hAnsi="仿宋" w:hint="default"/>
          <w:sz w:val="28"/>
          <w:szCs w:val="28"/>
          <w:highlight w:val="none"/>
          <w:lang w:val="en-US" w:eastAsia="zh-CN"/>
        </w:rPr>
      </w:pPr>
      <w:r>
        <w:rPr>
          <w:rFonts w:ascii="仿宋" w:cs="仿宋" w:hAnsi="仿宋" w:hint="eastAsia"/>
          <w:sz w:val="28"/>
          <w:szCs w:val="28"/>
          <w:highlight w:val="none"/>
          <w:lang w:val="en-US" w:eastAsia="zh-CN"/>
        </w:rPr>
        <w:t>⑥支付保费：</w:t>
      </w:r>
      <w:r>
        <w:rPr>
          <w:rFonts w:ascii="仿宋" w:cs="仿宋" w:eastAsia="仿宋" w:hAnsi="仿宋" w:hint="eastAsia"/>
          <w:sz w:val="28"/>
          <w:szCs w:val="28"/>
          <w:highlight w:val="none"/>
          <w:lang w:val="en-US" w:eastAsia="zh-CN"/>
        </w:rPr>
        <w:t>投保协议签署完成后投标人即可根据页面显示的付款方式和信息进行保费支付，支付完成后即可完成保函开具。</w:t>
      </w:r>
    </w:p>
    <w:p w14:paraId="49EF6252">
      <w:pPr>
        <w:pStyle w:val="style0"/>
        <w:rPr>
          <w:highlight w:val="none"/>
        </w:rPr>
      </w:pPr>
      <w:r>
        <w:rPr>
          <w:highlight w:val="none"/>
        </w:rPr>
        <w:drawing>
          <wp:inline distL="0" distT="0" distB="0" distR="0">
            <wp:extent cx="5271135" cy="3244850"/>
            <wp:effectExtent l="9525" t="9525" r="15240" b="22225"/>
            <wp:docPr id="1034"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10" cstate="print"/>
                    <a:srcRect l="0" t="0" r="0" b="0"/>
                    <a:stretch/>
                  </pic:blipFill>
                  <pic:spPr>
                    <a:xfrm rot="0">
                      <a:off x="0" y="0"/>
                      <a:ext cx="5271135" cy="3244850"/>
                    </a:xfrm>
                    <a:prstGeom prst="rect"/>
                    <a:ln cmpd="sng" cap="flat" w="6350">
                      <a:solidFill>
                        <a:srgbClr val="000000"/>
                      </a:solidFill>
                      <a:prstDash val="solid"/>
                      <a:round/>
                      <a:headEnd/>
                      <a:tailEnd/>
                    </a:ln>
                  </pic:spPr>
                </pic:pic>
              </a:graphicData>
            </a:graphic>
          </wp:inline>
        </w:drawing>
      </w:r>
    </w:p>
    <w:p w14:paraId="68179316">
      <w:pPr>
        <w:pStyle w:val="style0"/>
        <w:rPr>
          <w:rFonts w:hint="default"/>
          <w:highlight w:val="none"/>
          <w:lang w:val="en-US" w:eastAsia="zh-CN"/>
        </w:rPr>
      </w:pPr>
    </w:p>
    <w:p w14:paraId="05A0C456">
      <w:pPr>
        <w:pStyle w:val="style0"/>
        <w:keepNext w:val="false"/>
        <w:keepLines w:val="false"/>
        <w:pageBreakBefore w:val="false"/>
        <w:widowControl w:val="false"/>
        <w:numPr>
          <w:ilvl w:val="0"/>
          <w:numId w:val="0"/>
        </w:numPr>
        <w:kinsoku/>
        <w:wordWrap/>
        <w:overflowPunct/>
        <w:topLinePunct w:val="false"/>
        <w:autoSpaceDE/>
        <w:autoSpaceDN/>
        <w:bidi w:val="false"/>
        <w:adjustRightInd/>
        <w:snapToGrid/>
        <w:textAlignment w:val="auto"/>
        <w:rPr>
          <w:rFonts w:ascii="仿宋" w:cs="仿宋" w:eastAsia="仿宋" w:hAnsi="仿宋" w:hint="eastAsia"/>
          <w:sz w:val="28"/>
          <w:szCs w:val="28"/>
          <w:highlight w:val="none"/>
          <w:lang w:val="en-US" w:eastAsia="zh-CN"/>
        </w:rPr>
      </w:pPr>
      <w:r>
        <w:rPr>
          <w:rFonts w:ascii="仿宋" w:cs="仿宋" w:hAnsi="仿宋" w:hint="eastAsia"/>
          <w:sz w:val="28"/>
          <w:szCs w:val="28"/>
          <w:highlight w:val="none"/>
          <w:lang w:val="en-US" w:eastAsia="zh-CN"/>
        </w:rPr>
        <w:t>⑦查看保函和发票：</w:t>
      </w:r>
      <w:r>
        <w:rPr>
          <w:rFonts w:ascii="仿宋" w:cs="仿宋" w:eastAsia="仿宋" w:hAnsi="仿宋" w:hint="eastAsia"/>
          <w:sz w:val="28"/>
          <w:szCs w:val="28"/>
          <w:highlight w:val="none"/>
          <w:lang w:val="en-US" w:eastAsia="zh-CN"/>
        </w:rPr>
        <w:t>完成保费支付后，投保人可以通过订单详情查看/下载保函和发票。</w:t>
      </w:r>
    </w:p>
    <w:p w14:paraId="2EB496E8">
      <w:pPr>
        <w:pStyle w:val="style0"/>
        <w:rPr>
          <w:rFonts w:ascii="仿宋" w:hAnsi="仿宋" w:hint="eastAsia"/>
          <w:sz w:val="32"/>
          <w:highlight w:val="none"/>
        </w:rPr>
      </w:pPr>
      <w:r>
        <w:rPr>
          <w:highlight w:val="none"/>
        </w:rPr>
        <w:drawing>
          <wp:inline distL="0" distT="0" distB="0" distR="0">
            <wp:extent cx="5273040" cy="2629535"/>
            <wp:effectExtent l="9525" t="9525" r="13334" b="27940"/>
            <wp:docPr id="1035"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0"/>
                    <pic:cNvPicPr/>
                  </pic:nvPicPr>
                  <pic:blipFill>
                    <a:blip r:embed="rId11" cstate="print"/>
                    <a:srcRect l="0" t="0" r="0" b="0"/>
                    <a:stretch/>
                  </pic:blipFill>
                  <pic:spPr>
                    <a:xfrm rot="0">
                      <a:off x="0" y="0"/>
                      <a:ext cx="5273040" cy="2629535"/>
                    </a:xfrm>
                    <a:prstGeom prst="rect"/>
                    <a:ln cmpd="sng" cap="flat" w="6350">
                      <a:solidFill>
                        <a:srgbClr val="000000"/>
                      </a:solidFill>
                      <a:prstDash val="solid"/>
                      <a:round/>
                      <a:headEnd/>
                      <a:tailEnd/>
                    </a:ln>
                  </pic:spPr>
                </pic:pic>
              </a:graphicData>
            </a:graphic>
          </wp:inline>
        </w:drawing>
      </w:r>
    </w:p>
    <w:p w14:paraId="14232708">
      <w:pPr>
        <w:pStyle w:val="style1"/>
        <w:rPr>
          <w:rFonts w:ascii="仿宋" w:hAnsi="仿宋"/>
          <w:sz w:val="32"/>
          <w:szCs w:val="32"/>
          <w:highlight w:val="none"/>
        </w:rPr>
      </w:pPr>
      <w:r>
        <w:rPr>
          <w:rFonts w:ascii="仿宋" w:hAnsi="仿宋" w:hint="eastAsia"/>
          <w:sz w:val="32"/>
          <w:szCs w:val="32"/>
          <w:highlight w:val="none"/>
          <w:lang w:val="en-US" w:eastAsia="zh-CN"/>
        </w:rPr>
        <w:t>2</w:t>
      </w:r>
      <w:r>
        <w:rPr>
          <w:rFonts w:ascii="仿宋" w:hAnsi="仿宋" w:hint="eastAsia"/>
          <w:sz w:val="32"/>
          <w:szCs w:val="32"/>
          <w:highlight w:val="none"/>
        </w:rPr>
        <w:t>、第三方电子保函平台申请保函</w:t>
      </w:r>
    </w:p>
    <w:p w14:paraId="239D0EC3">
      <w:pPr>
        <w:pStyle w:val="style2"/>
        <w:rPr>
          <w:rFonts w:ascii="仿宋" w:hAnsi="仿宋"/>
          <w:sz w:val="28"/>
          <w:highlight w:val="none"/>
        </w:rPr>
      </w:pPr>
      <w:r>
        <w:rPr>
          <w:rFonts w:ascii="仿宋" w:hAnsi="仿宋" w:hint="eastAsia"/>
          <w:sz w:val="28"/>
          <w:highlight w:val="none"/>
          <w:lang w:val="en-US" w:eastAsia="zh-CN"/>
        </w:rPr>
        <w:t>2</w:t>
      </w:r>
      <w:r>
        <w:rPr>
          <w:rFonts w:ascii="仿宋" w:hAnsi="仿宋" w:hint="eastAsia"/>
          <w:sz w:val="28"/>
          <w:highlight w:val="none"/>
        </w:rPr>
        <w:t>.</w:t>
      </w:r>
      <w:r>
        <w:rPr>
          <w:rFonts w:ascii="仿宋" w:hAnsi="仿宋"/>
          <w:sz w:val="28"/>
          <w:highlight w:val="none"/>
        </w:rPr>
        <w:t>1</w:t>
      </w:r>
      <w:r>
        <w:rPr>
          <w:rFonts w:ascii="仿宋" w:hAnsi="仿宋" w:hint="eastAsia"/>
          <w:sz w:val="28"/>
          <w:highlight w:val="none"/>
        </w:rPr>
        <w:t xml:space="preserve"> </w:t>
      </w:r>
      <w:r>
        <w:rPr>
          <w:rFonts w:ascii="仿宋" w:hAnsi="仿宋" w:hint="eastAsia"/>
          <w:sz w:val="28"/>
          <w:highlight w:val="none"/>
          <w:lang w:val="en-US" w:eastAsia="zh-CN"/>
        </w:rPr>
        <w:t>电子</w:t>
      </w:r>
      <w:r>
        <w:rPr>
          <w:rFonts w:ascii="仿宋" w:hAnsi="仿宋" w:hint="eastAsia"/>
          <w:sz w:val="28"/>
          <w:highlight w:val="none"/>
        </w:rPr>
        <w:t>保函申请业务流程图</w:t>
      </w:r>
    </w:p>
    <w:p w14:paraId="5B4C12CC">
      <w:pPr>
        <w:pStyle w:val="style0"/>
        <w:rPr>
          <w:highlight w:val="none"/>
        </w:rPr>
      </w:pPr>
      <w:r>
        <w:rPr>
          <w:highlight w:val="none"/>
        </w:rPr>
      </w:r>
      <w:r>
        <w:rPr>
          <w:highlight w:val="none"/>
        </w:rPr>
      </w:r>
      <w:r>
        <w:rPr>
          <w:highlight w:val="none"/>
        </w:rPr>
      </w:r>
      <w:r>
        <w:rPr>
          <w:highlight w:val="none"/>
        </w:rPr>
        <w:object>
          <v:shape id="1036" type="#_x0000_t75" filled="f" stroked="f" style="margin-left:0.0pt;margin-top:0.0pt;width:380.2pt;height:552.0pt;mso-wrap-distance-left:0.0pt;mso-wrap-distance-right:0.0pt;visibility:visible;">
            <w10:anchorlock/>
            <v:imagedata r:id="rId12" embosscolor="white" o:title=""/>
            <v:stroke on="f" joinstyle="miter"/>
            <o:lock aspectratio="true" v:ext="view"/>
            <v:fill/>
          </v:shape>
          <o:OLEObject Type="EMBED" ProgID="Visio.Drawing.15" ShapeID="1036" DrawAspect="Content" ObjectID="0" r:id="rId13"/>
        </w:object>
      </w:r>
      <w:r>
        <w:rPr>
          <w:highlight w:val="none"/>
        </w:rPr>
      </w:r>
    </w:p>
    <w:p w14:paraId="107A12A6">
      <w:pPr>
        <w:pStyle w:val="style2"/>
        <w:rPr>
          <w:rFonts w:ascii="仿宋" w:hAnsi="仿宋"/>
          <w:sz w:val="28"/>
          <w:highlight w:val="none"/>
        </w:rPr>
      </w:pPr>
      <w:r>
        <w:rPr>
          <w:rFonts w:ascii="仿宋" w:hAnsi="仿宋" w:hint="eastAsia"/>
          <w:sz w:val="28"/>
          <w:highlight w:val="none"/>
          <w:lang w:val="en-US" w:eastAsia="zh-CN"/>
        </w:rPr>
        <w:t>2</w:t>
      </w:r>
      <w:r>
        <w:rPr>
          <w:rFonts w:ascii="仿宋" w:hAnsi="仿宋" w:hint="eastAsia"/>
          <w:sz w:val="28"/>
          <w:highlight w:val="none"/>
        </w:rPr>
        <w:t>.</w:t>
      </w:r>
      <w:r>
        <w:rPr>
          <w:rFonts w:ascii="仿宋" w:hAnsi="仿宋"/>
          <w:sz w:val="28"/>
          <w:highlight w:val="none"/>
        </w:rPr>
        <w:t>2</w:t>
      </w:r>
      <w:r>
        <w:rPr>
          <w:rFonts w:ascii="仿宋" w:hAnsi="仿宋" w:hint="eastAsia"/>
          <w:sz w:val="28"/>
          <w:highlight w:val="none"/>
          <w:lang w:val="en-US" w:eastAsia="zh-CN"/>
        </w:rPr>
        <w:t>电子</w:t>
      </w:r>
      <w:r>
        <w:rPr>
          <w:rFonts w:ascii="仿宋" w:hAnsi="仿宋" w:hint="eastAsia"/>
          <w:sz w:val="28"/>
          <w:highlight w:val="none"/>
        </w:rPr>
        <w:t>保函</w:t>
      </w:r>
      <w:r>
        <w:rPr>
          <w:rFonts w:ascii="仿宋" w:hAnsi="仿宋"/>
          <w:sz w:val="28"/>
          <w:highlight w:val="none"/>
        </w:rPr>
        <w:t>申请</w:t>
      </w:r>
      <w:r>
        <w:rPr>
          <w:rFonts w:ascii="仿宋" w:hAnsi="仿宋" w:hint="eastAsia"/>
          <w:sz w:val="28"/>
          <w:highlight w:val="none"/>
        </w:rPr>
        <w:t>业务流程</w:t>
      </w:r>
    </w:p>
    <w:p w14:paraId="362A2B6B">
      <w:pPr>
        <w:pStyle w:val="style0"/>
        <w:rPr>
          <w:rFonts w:ascii="仿宋" w:hAnsi="仿宋"/>
          <w:highlight w:val="none"/>
        </w:rPr>
      </w:pPr>
      <w:r>
        <w:rPr>
          <w:rFonts w:ascii="仿宋" w:hAnsi="仿宋" w:hint="eastAsia"/>
          <w:highlight w:val="none"/>
        </w:rPr>
        <w:t>①使用ca</w:t>
      </w:r>
      <w:r>
        <w:rPr>
          <w:rFonts w:ascii="仿宋" w:hAnsi="仿宋"/>
          <w:highlight w:val="none"/>
        </w:rPr>
        <w:t>登录</w:t>
      </w:r>
      <w:r>
        <w:rPr>
          <w:rFonts w:ascii="仿宋" w:hAnsi="仿宋" w:hint="eastAsia"/>
          <w:highlight w:val="none"/>
        </w:rPr>
        <w:t>济南公共资源交易中心官网，进入资金管理平台。</w:t>
      </w:r>
    </w:p>
    <w:p w14:paraId="0AD07BCB">
      <w:pPr>
        <w:pStyle w:val="style0"/>
        <w:rPr>
          <w:rFonts w:ascii="仿宋" w:hAnsi="仿宋"/>
          <w:highlight w:val="none"/>
        </w:rPr>
      </w:pPr>
      <w:r>
        <w:rPr>
          <w:rFonts w:ascii="仿宋" w:hAnsi="仿宋"/>
          <w:color w:val="ff0000"/>
          <w:highlight w:val="none"/>
        </w:rPr>
        <w:t>注意</w:t>
      </w:r>
      <w:r>
        <w:rPr>
          <w:rFonts w:ascii="仿宋" w:hAnsi="仿宋" w:hint="eastAsia"/>
          <w:color w:val="ff0000"/>
          <w:highlight w:val="none"/>
        </w:rPr>
        <w:t>事项</w:t>
      </w:r>
      <w:r>
        <w:rPr>
          <w:rFonts w:ascii="仿宋" w:hAnsi="仿宋" w:hint="eastAsia"/>
          <w:highlight w:val="none"/>
        </w:rPr>
        <w:t>：</w:t>
      </w:r>
      <w:r>
        <w:rPr>
          <w:rFonts w:ascii="仿宋" w:hAnsi="仿宋"/>
          <w:highlight w:val="none"/>
        </w:rPr>
        <w:t>投标人</w:t>
      </w:r>
      <w:r>
        <w:rPr>
          <w:rFonts w:ascii="仿宋" w:hAnsi="仿宋" w:hint="eastAsia"/>
          <w:highlight w:val="none"/>
        </w:rPr>
        <w:t>才可以进行</w:t>
      </w:r>
      <w:r>
        <w:rPr>
          <w:rFonts w:ascii="仿宋" w:hAnsi="仿宋"/>
          <w:highlight w:val="none"/>
        </w:rPr>
        <w:t>保证金缴纳操作</w:t>
      </w:r>
    </w:p>
    <w:p w14:paraId="7B29DF01">
      <w:pPr>
        <w:pStyle w:val="style0"/>
        <w:rPr>
          <w:rFonts w:ascii="仿宋" w:eastAsia="仿宋" w:hAnsi="仿宋" w:hint="eastAsia"/>
          <w:highlight w:val="none"/>
          <w:lang w:eastAsia="zh-CN"/>
        </w:rPr>
      </w:pPr>
      <w:r>
        <w:rPr>
          <w:rFonts w:ascii="仿宋" w:hAnsi="仿宋" w:hint="eastAsia"/>
          <w:highlight w:val="none"/>
        </w:rPr>
        <w:t>②在</w:t>
      </w:r>
      <w:r>
        <w:rPr>
          <w:rFonts w:ascii="仿宋" w:hAnsi="仿宋"/>
          <w:highlight w:val="none"/>
        </w:rPr>
        <w:t>保证金交纳菜单，</w:t>
      </w:r>
      <w:r>
        <w:rPr>
          <w:rFonts w:ascii="仿宋" w:hAnsi="仿宋" w:hint="eastAsia"/>
          <w:highlight w:val="none"/>
        </w:rPr>
        <w:t>通过“</w:t>
      </w:r>
      <w:r>
        <w:rPr>
          <w:rFonts w:ascii="仿宋" w:hAnsi="仿宋"/>
          <w:highlight w:val="none"/>
        </w:rPr>
        <w:t>交纳</w:t>
      </w:r>
      <w:r>
        <w:rPr>
          <w:rFonts w:ascii="仿宋" w:hAnsi="仿宋" w:hint="eastAsia"/>
          <w:highlight w:val="none"/>
          <w:lang w:val="en-US" w:eastAsia="zh-CN"/>
        </w:rPr>
        <w:t>保证金</w:t>
      </w:r>
      <w:r>
        <w:rPr>
          <w:rFonts w:ascii="仿宋" w:hAnsi="仿宋" w:hint="eastAsia"/>
          <w:highlight w:val="none"/>
        </w:rPr>
        <w:t>”功能</w:t>
      </w:r>
      <w:r>
        <w:rPr>
          <w:rFonts w:ascii="仿宋" w:hAnsi="仿宋"/>
          <w:highlight w:val="none"/>
        </w:rPr>
        <w:t>，</w:t>
      </w:r>
      <w:r>
        <w:rPr>
          <w:rFonts w:ascii="仿宋" w:hAnsi="仿宋" w:hint="eastAsia"/>
          <w:highlight w:val="none"/>
        </w:rPr>
        <w:t>选择保证金</w:t>
      </w:r>
      <w:r>
        <w:rPr>
          <w:rFonts w:ascii="仿宋" w:hAnsi="仿宋"/>
          <w:highlight w:val="none"/>
        </w:rPr>
        <w:t>交纳方式</w:t>
      </w:r>
      <w:r>
        <w:rPr>
          <w:rFonts w:ascii="仿宋" w:hAnsi="仿宋" w:hint="eastAsia"/>
          <w:highlight w:val="none"/>
        </w:rPr>
        <w:t>电子保函</w:t>
      </w:r>
      <w:r>
        <w:rPr>
          <w:rFonts w:ascii="仿宋" w:hAnsi="仿宋" w:hint="eastAsia"/>
          <w:highlight w:val="none"/>
          <w:lang w:eastAsia="zh-CN"/>
        </w:rPr>
        <w:t>。</w:t>
      </w:r>
    </w:p>
    <w:p w14:paraId="105D156A">
      <w:pPr>
        <w:pStyle w:val="style179"/>
        <w:numPr>
          <w:ilvl w:val="0"/>
          <w:numId w:val="1"/>
        </w:numPr>
        <w:ind w:firstLineChars="0"/>
        <w:rPr>
          <w:rFonts w:ascii="仿宋" w:hAnsi="仿宋"/>
          <w:highlight w:val="none"/>
        </w:rPr>
      </w:pPr>
      <w:r>
        <w:rPr>
          <w:rFonts w:ascii="仿宋" w:hAnsi="仿宋" w:hint="eastAsia"/>
          <w:highlight w:val="none"/>
        </w:rPr>
        <w:t>进入第三方保函</w:t>
      </w:r>
      <w:r>
        <w:rPr>
          <w:rFonts w:ascii="仿宋" w:hAnsi="仿宋"/>
          <w:highlight w:val="none"/>
        </w:rPr>
        <w:t>平台登录界面</w:t>
      </w:r>
      <w:r>
        <w:rPr>
          <w:rFonts w:ascii="仿宋" w:hAnsi="仿宋" w:hint="eastAsia"/>
          <w:highlight w:val="none"/>
          <w:lang w:val="en-US" w:eastAsia="zh-CN"/>
        </w:rPr>
        <w:t>按照保函平台提示完成信息填写</w:t>
      </w:r>
    </w:p>
    <w:p w14:paraId="6B8A1CF6">
      <w:pPr>
        <w:pStyle w:val="style0"/>
        <w:ind w:firstLine="560" w:firstLineChars="200"/>
        <w:rPr>
          <w:rFonts w:ascii="仿宋" w:hAnsi="仿宋"/>
          <w:highlight w:val="none"/>
        </w:rPr>
      </w:pPr>
      <w:r>
        <w:rPr>
          <w:rFonts w:ascii="仿宋" w:hAnsi="仿宋" w:hint="eastAsia"/>
          <w:highlight w:val="none"/>
        </w:rPr>
        <w:t>在线保费支付，选择银行</w:t>
      </w:r>
      <w:r>
        <w:rPr>
          <w:rFonts w:ascii="仿宋" w:hAnsi="仿宋"/>
          <w:highlight w:val="none"/>
        </w:rPr>
        <w:t>进行</w:t>
      </w:r>
      <w:r>
        <w:rPr>
          <w:rFonts w:ascii="仿宋" w:hAnsi="仿宋" w:hint="eastAsia"/>
          <w:highlight w:val="none"/>
        </w:rPr>
        <w:t>企业网银支付，支付成功后电子保单可出具并下载。</w:t>
      </w:r>
    </w:p>
    <w:p w14:paraId="2C860C45">
      <w:pPr>
        <w:pStyle w:val="style1"/>
        <w:rPr>
          <w:rFonts w:ascii="仿宋" w:hAnsi="仿宋"/>
          <w:sz w:val="28"/>
          <w:szCs w:val="28"/>
          <w:highlight w:val="none"/>
        </w:rPr>
      </w:pPr>
      <w:r>
        <w:rPr>
          <w:rFonts w:ascii="仿宋" w:hAnsi="仿宋" w:hint="eastAsia"/>
          <w:sz w:val="28"/>
          <w:szCs w:val="28"/>
          <w:highlight w:val="none"/>
          <w:lang w:val="en-US" w:eastAsia="zh-CN"/>
        </w:rPr>
        <w:t>3</w:t>
      </w:r>
      <w:r>
        <w:rPr>
          <w:rFonts w:ascii="仿宋" w:hAnsi="仿宋" w:hint="eastAsia"/>
          <w:sz w:val="28"/>
          <w:szCs w:val="28"/>
          <w:highlight w:val="none"/>
        </w:rPr>
        <w:t>、纸质保函交纳保证金</w:t>
      </w:r>
    </w:p>
    <w:p w14:paraId="2D917322">
      <w:pPr>
        <w:pStyle w:val="style2"/>
        <w:rPr>
          <w:rFonts w:ascii="仿宋" w:hAnsi="仿宋"/>
          <w:sz w:val="28"/>
          <w:highlight w:val="none"/>
        </w:rPr>
      </w:pPr>
      <w:r>
        <w:rPr>
          <w:rFonts w:ascii="仿宋" w:hAnsi="仿宋" w:hint="eastAsia"/>
          <w:sz w:val="28"/>
          <w:highlight w:val="none"/>
          <w:lang w:val="en-US" w:eastAsia="zh-CN"/>
        </w:rPr>
        <w:t>3</w:t>
      </w:r>
      <w:r>
        <w:rPr>
          <w:rFonts w:ascii="仿宋" w:hAnsi="仿宋" w:hint="eastAsia"/>
          <w:sz w:val="28"/>
          <w:highlight w:val="none"/>
        </w:rPr>
        <w:t>.</w:t>
      </w:r>
      <w:r>
        <w:rPr>
          <w:rFonts w:ascii="仿宋" w:hAnsi="仿宋"/>
          <w:sz w:val="28"/>
          <w:highlight w:val="none"/>
        </w:rPr>
        <w:t>1</w:t>
      </w:r>
      <w:r>
        <w:rPr>
          <w:rFonts w:ascii="仿宋" w:hAnsi="仿宋" w:hint="eastAsia"/>
          <w:sz w:val="28"/>
          <w:highlight w:val="none"/>
        </w:rPr>
        <w:t>保函</w:t>
      </w:r>
      <w:r>
        <w:rPr>
          <w:rFonts w:ascii="仿宋" w:hAnsi="仿宋"/>
          <w:sz w:val="28"/>
          <w:highlight w:val="none"/>
        </w:rPr>
        <w:t>申请</w:t>
      </w:r>
      <w:r>
        <w:rPr>
          <w:rFonts w:ascii="仿宋" w:hAnsi="仿宋" w:hint="eastAsia"/>
          <w:sz w:val="28"/>
          <w:highlight w:val="none"/>
        </w:rPr>
        <w:t>业务流程图</w:t>
      </w:r>
    </w:p>
    <w:p w14:paraId="3FFA9E71">
      <w:pPr>
        <w:pStyle w:val="style0"/>
        <w:rPr>
          <w:highlight w:val="none"/>
        </w:rPr>
      </w:pPr>
      <w:r>
        <w:rPr>
          <w:highlight w:val="none"/>
        </w:rPr>
      </w:r>
      <w:r>
        <w:rPr>
          <w:highlight w:val="none"/>
        </w:rPr>
      </w:r>
      <w:r>
        <w:rPr>
          <w:highlight w:val="none"/>
        </w:rPr>
      </w:r>
      <w:r>
        <w:rPr>
          <w:highlight w:val="none"/>
        </w:rPr>
        <w:object>
          <v:shape id="1038" type="#_x0000_t75" filled="f" stroked="f" style="margin-left:0.0pt;margin-top:0.0pt;width:430.35pt;height:374.2pt;mso-wrap-distance-left:0.0pt;mso-wrap-distance-right:0.0pt;visibility:visible;">
            <w10:anchorlock/>
            <v:imagedata r:id="rId14" embosscolor="white" o:title=""/>
            <v:stroke on="f" joinstyle="miter"/>
            <o:lock aspectratio="true" v:ext="view"/>
            <v:fill/>
          </v:shape>
          <o:OLEObject Type="EMBED" ProgID="Visio.Drawing.15" ShapeID="1038" DrawAspect="Content" ObjectID="0" r:id="rId15"/>
        </w:object>
      </w:r>
      <w:r>
        <w:rPr>
          <w:highlight w:val="none"/>
        </w:rPr>
      </w:r>
    </w:p>
    <w:p w14:paraId="0C9D2CA5">
      <w:pPr>
        <w:pStyle w:val="style2"/>
        <w:rPr>
          <w:rFonts w:ascii="仿宋" w:hAnsi="仿宋"/>
          <w:sz w:val="28"/>
          <w:highlight w:val="none"/>
        </w:rPr>
      </w:pPr>
      <w:r>
        <w:rPr>
          <w:rFonts w:ascii="仿宋" w:hAnsi="仿宋" w:hint="eastAsia"/>
          <w:sz w:val="28"/>
          <w:highlight w:val="none"/>
          <w:lang w:val="en-US" w:eastAsia="zh-CN"/>
        </w:rPr>
        <w:t>3.2</w:t>
      </w:r>
      <w:r>
        <w:rPr>
          <w:rFonts w:ascii="仿宋" w:hAnsi="仿宋" w:hint="eastAsia"/>
          <w:sz w:val="28"/>
          <w:highlight w:val="none"/>
        </w:rPr>
        <w:t>保函</w:t>
      </w:r>
      <w:r>
        <w:rPr>
          <w:rFonts w:ascii="仿宋" w:hAnsi="仿宋"/>
          <w:sz w:val="28"/>
          <w:highlight w:val="none"/>
        </w:rPr>
        <w:t>申请</w:t>
      </w:r>
      <w:r>
        <w:rPr>
          <w:rFonts w:ascii="仿宋" w:hAnsi="仿宋" w:hint="eastAsia"/>
          <w:sz w:val="28"/>
          <w:highlight w:val="none"/>
        </w:rPr>
        <w:t>业务流程</w:t>
      </w:r>
    </w:p>
    <w:p w14:paraId="04C67662">
      <w:pPr>
        <w:pStyle w:val="style0"/>
        <w:rPr>
          <w:rFonts w:ascii="仿宋" w:hAnsi="仿宋"/>
          <w:highlight w:val="none"/>
        </w:rPr>
      </w:pPr>
      <w:r>
        <w:rPr>
          <w:rFonts w:ascii="仿宋" w:hAnsi="仿宋" w:hint="eastAsia"/>
          <w:highlight w:val="none"/>
        </w:rPr>
        <w:t>①使用ca</w:t>
      </w:r>
      <w:r>
        <w:rPr>
          <w:rFonts w:ascii="仿宋" w:hAnsi="仿宋"/>
          <w:highlight w:val="none"/>
        </w:rPr>
        <w:t>登录</w:t>
      </w:r>
      <w:r>
        <w:rPr>
          <w:rFonts w:ascii="仿宋" w:hAnsi="仿宋" w:hint="eastAsia"/>
          <w:highlight w:val="none"/>
        </w:rPr>
        <w:t>济南公共资源交易中心官网，进入资金管理平台。</w:t>
      </w:r>
    </w:p>
    <w:p w14:paraId="4CB8492B">
      <w:pPr>
        <w:pStyle w:val="style0"/>
        <w:rPr>
          <w:rFonts w:ascii="仿宋" w:hAnsi="仿宋"/>
          <w:highlight w:val="none"/>
        </w:rPr>
      </w:pPr>
      <w:r>
        <w:rPr>
          <w:rFonts w:ascii="仿宋" w:hAnsi="仿宋"/>
          <w:color w:val="ff0000"/>
          <w:highlight w:val="none"/>
        </w:rPr>
        <w:t>注意</w:t>
      </w:r>
      <w:r>
        <w:rPr>
          <w:rFonts w:ascii="仿宋" w:hAnsi="仿宋" w:hint="eastAsia"/>
          <w:color w:val="ff0000"/>
          <w:highlight w:val="none"/>
        </w:rPr>
        <w:t>事项：</w:t>
      </w:r>
      <w:r>
        <w:rPr>
          <w:rFonts w:ascii="仿宋" w:hAnsi="仿宋"/>
          <w:highlight w:val="none"/>
        </w:rPr>
        <w:t>投标人</w:t>
      </w:r>
      <w:r>
        <w:rPr>
          <w:rFonts w:ascii="仿宋" w:hAnsi="仿宋" w:hint="eastAsia"/>
          <w:highlight w:val="none"/>
        </w:rPr>
        <w:t>才可以进行</w:t>
      </w:r>
      <w:r>
        <w:rPr>
          <w:rFonts w:ascii="仿宋" w:hAnsi="仿宋"/>
          <w:highlight w:val="none"/>
        </w:rPr>
        <w:t>保证金缴纳操作</w:t>
      </w:r>
    </w:p>
    <w:p w14:paraId="56D56993">
      <w:pPr>
        <w:pStyle w:val="style0"/>
        <w:rPr>
          <w:rFonts w:ascii="仿宋" w:hAnsi="仿宋" w:hint="eastAsia"/>
          <w:highlight w:val="none"/>
        </w:rPr>
      </w:pPr>
      <w:r>
        <w:rPr>
          <w:rFonts w:ascii="仿宋" w:hAnsi="仿宋" w:hint="eastAsia"/>
          <w:highlight w:val="none"/>
        </w:rPr>
        <w:t>②通过</w:t>
      </w:r>
      <w:r>
        <w:rPr>
          <w:rFonts w:ascii="仿宋" w:hAnsi="仿宋"/>
          <w:highlight w:val="none"/>
        </w:rPr>
        <w:t>保证金交纳菜单，</w:t>
      </w:r>
      <w:r>
        <w:rPr>
          <w:rFonts w:ascii="仿宋" w:hAnsi="仿宋" w:hint="eastAsia"/>
          <w:highlight w:val="none"/>
        </w:rPr>
        <w:t>选择保证金</w:t>
      </w:r>
      <w:r>
        <w:rPr>
          <w:rFonts w:ascii="仿宋" w:hAnsi="仿宋"/>
          <w:highlight w:val="none"/>
        </w:rPr>
        <w:t>交纳方式</w:t>
      </w:r>
      <w:r>
        <w:rPr>
          <w:rFonts w:ascii="仿宋" w:hAnsi="仿宋" w:hint="eastAsia"/>
          <w:highlight w:val="none"/>
        </w:rPr>
        <w:t>纸质</w:t>
      </w:r>
      <w:r>
        <w:rPr>
          <w:rFonts w:ascii="仿宋" w:hAnsi="仿宋"/>
          <w:highlight w:val="none"/>
        </w:rPr>
        <w:t>保函，</w:t>
      </w:r>
      <w:r>
        <w:rPr>
          <w:rFonts w:ascii="仿宋" w:hAnsi="仿宋" w:hint="eastAsia"/>
          <w:highlight w:val="none"/>
        </w:rPr>
        <w:t>选择上传电子保函附件，成功上传的</w:t>
      </w:r>
      <w:r>
        <w:rPr>
          <w:rFonts w:ascii="仿宋" w:hAnsi="仿宋"/>
          <w:highlight w:val="none"/>
        </w:rPr>
        <w:t>附件后</w:t>
      </w:r>
      <w:r>
        <w:rPr>
          <w:rFonts w:ascii="仿宋" w:hAnsi="仿宋" w:hint="eastAsia"/>
          <w:highlight w:val="none"/>
        </w:rPr>
        <w:t>显示</w:t>
      </w:r>
      <w:r>
        <w:rPr>
          <w:rFonts w:ascii="仿宋" w:hAnsi="仿宋"/>
          <w:highlight w:val="none"/>
        </w:rPr>
        <w:t>删除按钮</w:t>
      </w:r>
      <w:r>
        <w:rPr>
          <w:rFonts w:ascii="仿宋" w:hAnsi="仿宋" w:hint="eastAsia"/>
          <w:highlight w:val="none"/>
        </w:rPr>
        <w:t>，附件上传错误可删除重新上传。</w:t>
      </w:r>
    </w:p>
    <w:p w14:paraId="04EB3DEA">
      <w:pPr>
        <w:pStyle w:val="style0"/>
        <w:outlineLvl w:val="0"/>
        <w:rPr>
          <w:sz w:val="32"/>
          <w:highlight w:val="none"/>
        </w:rPr>
      </w:pPr>
      <w:r>
        <w:rPr>
          <w:rFonts w:ascii="宋体" w:eastAsia="宋体" w:hAnsi="宋体" w:hint="eastAsia"/>
          <w:b/>
          <w:sz w:val="32"/>
          <w:szCs w:val="28"/>
          <w:highlight w:val="none"/>
          <w:lang w:val="en-US" w:eastAsia="zh-CN"/>
        </w:rPr>
        <w:t>4</w:t>
      </w:r>
      <w:r>
        <w:rPr>
          <w:rFonts w:ascii="宋体" w:eastAsia="宋体" w:hAnsi="宋体" w:hint="eastAsia"/>
          <w:b/>
          <w:sz w:val="32"/>
          <w:szCs w:val="28"/>
          <w:highlight w:val="none"/>
        </w:rPr>
        <w:t>、银行转账--保证金交纳、退款业务流程</w:t>
      </w:r>
    </w:p>
    <w:p w14:paraId="4A63FD5F">
      <w:pPr>
        <w:pStyle w:val="style2"/>
        <w:rPr>
          <w:rFonts w:ascii="仿宋" w:hAnsi="仿宋"/>
          <w:sz w:val="28"/>
          <w:highlight w:val="none"/>
        </w:rPr>
      </w:pPr>
      <w:r>
        <w:rPr>
          <w:rFonts w:ascii="仿宋" w:hAnsi="仿宋" w:hint="eastAsia"/>
          <w:sz w:val="28"/>
          <w:highlight w:val="none"/>
          <w:lang w:val="en-US" w:eastAsia="zh-CN"/>
        </w:rPr>
        <w:t>4</w:t>
      </w:r>
      <w:r>
        <w:rPr>
          <w:rFonts w:ascii="仿宋" w:hAnsi="仿宋" w:hint="eastAsia"/>
          <w:sz w:val="28"/>
          <w:highlight w:val="none"/>
        </w:rPr>
        <w:t>.</w:t>
      </w:r>
      <w:r>
        <w:rPr>
          <w:rFonts w:ascii="仿宋" w:hAnsi="仿宋"/>
          <w:sz w:val="28"/>
          <w:highlight w:val="none"/>
        </w:rPr>
        <w:t>1</w:t>
      </w:r>
      <w:r>
        <w:rPr>
          <w:rFonts w:ascii="仿宋" w:hAnsi="仿宋" w:hint="eastAsia"/>
          <w:sz w:val="28"/>
          <w:highlight w:val="none"/>
        </w:rPr>
        <w:t>交易流程图</w:t>
      </w:r>
    </w:p>
    <w:p w14:paraId="392173A9">
      <w:pPr>
        <w:pStyle w:val="style0"/>
        <w:rPr>
          <w:highlight w:val="none"/>
        </w:rPr>
      </w:pPr>
      <w:r>
        <w:rPr>
          <w:highlight w:val="none"/>
        </w:rPr>
      </w:r>
      <w:r>
        <w:rPr>
          <w:highlight w:val="none"/>
        </w:rPr>
      </w:r>
      <w:r>
        <w:rPr>
          <w:highlight w:val="none"/>
        </w:rPr>
      </w:r>
      <w:r>
        <w:rPr>
          <w:highlight w:val="none"/>
        </w:rPr>
        <w:object>
          <v:shape id="1040" type="#_x0000_t75" filled="f" stroked="f" style="margin-left:0.0pt;margin-top:0.0pt;width:400.35pt;height:342.0pt;mso-wrap-distance-left:0.0pt;mso-wrap-distance-right:0.0pt;visibility:visible;">
            <w10:anchorlock/>
            <v:imagedata r:id="rId16" embosscolor="white" o:title=""/>
            <v:stroke on="f" joinstyle="miter"/>
            <o:lock aspectratio="true" v:ext="view"/>
            <v:fill/>
          </v:shape>
          <o:OLEObject Type="EMBED" ProgID="Visio.Drawing.15" ShapeID="1040" DrawAspect="Content" ObjectID="0" r:id="rId17"/>
        </w:object>
      </w:r>
      <w:r>
        <w:rPr>
          <w:highlight w:val="none"/>
        </w:rPr>
      </w:r>
    </w:p>
    <w:p w14:paraId="4B407810">
      <w:pPr>
        <w:pStyle w:val="style2"/>
        <w:rPr>
          <w:rFonts w:ascii="仿宋" w:hAnsi="仿宋"/>
          <w:sz w:val="28"/>
          <w:highlight w:val="none"/>
        </w:rPr>
      </w:pPr>
      <w:r>
        <w:rPr>
          <w:rFonts w:ascii="仿宋" w:hAnsi="仿宋" w:hint="eastAsia"/>
          <w:sz w:val="28"/>
          <w:highlight w:val="none"/>
          <w:lang w:val="en-US" w:eastAsia="zh-CN"/>
        </w:rPr>
        <w:t>4</w:t>
      </w:r>
      <w:r>
        <w:rPr>
          <w:rFonts w:ascii="仿宋" w:hAnsi="仿宋" w:hint="eastAsia"/>
          <w:sz w:val="28"/>
          <w:highlight w:val="none"/>
        </w:rPr>
        <w:t>.</w:t>
      </w:r>
      <w:r>
        <w:rPr>
          <w:rFonts w:ascii="仿宋" w:hAnsi="仿宋"/>
          <w:sz w:val="28"/>
          <w:highlight w:val="none"/>
        </w:rPr>
        <w:t>2</w:t>
      </w:r>
      <w:r>
        <w:rPr>
          <w:rFonts w:ascii="仿宋" w:hAnsi="仿宋" w:hint="eastAsia"/>
          <w:sz w:val="28"/>
          <w:highlight w:val="none"/>
        </w:rPr>
        <w:t>银行</w:t>
      </w:r>
      <w:r>
        <w:rPr>
          <w:rFonts w:ascii="仿宋" w:hAnsi="仿宋"/>
          <w:sz w:val="28"/>
          <w:highlight w:val="none"/>
        </w:rPr>
        <w:t>转账</w:t>
      </w:r>
      <w:r>
        <w:rPr>
          <w:rFonts w:ascii="仿宋" w:hAnsi="仿宋" w:hint="eastAsia"/>
          <w:sz w:val="28"/>
          <w:highlight w:val="none"/>
        </w:rPr>
        <w:t>方式-交纳保证金</w:t>
      </w:r>
    </w:p>
    <w:bookmarkStart w:id="1" w:name="c__5064702_"/>
    <w:p w14:paraId="714EB8B7">
      <w:pPr>
        <w:pStyle w:val="style0"/>
        <w:rPr>
          <w:rFonts w:ascii="仿宋" w:hAnsi="仿宋"/>
          <w:sz w:val="32"/>
          <w:highlight w:val="none"/>
        </w:rPr>
      </w:pPr>
      <w:r>
        <w:rPr>
          <w:rFonts w:ascii="仿宋" w:hAnsi="仿宋" w:hint="eastAsia"/>
          <w:sz w:val="32"/>
          <w:highlight w:val="none"/>
        </w:rPr>
        <w:t>①投标企业使用ca登录济南公共资源交易中心官网，进入官网后找到资金管理平台进入操作相应业务。</w:t>
      </w:r>
    </w:p>
    <w:p w14:paraId="33E9B456">
      <w:pPr>
        <w:pStyle w:val="style0"/>
        <w:rPr>
          <w:rFonts w:ascii="仿宋" w:hAnsi="仿宋"/>
          <w:sz w:val="32"/>
          <w:highlight w:val="none"/>
        </w:rPr>
      </w:pPr>
      <w:r>
        <w:rPr>
          <w:rFonts w:ascii="仿宋" w:hAnsi="仿宋"/>
          <w:color w:val="ff0000"/>
          <w:sz w:val="32"/>
          <w:highlight w:val="none"/>
        </w:rPr>
        <w:t>注意</w:t>
      </w:r>
      <w:r>
        <w:rPr>
          <w:rFonts w:ascii="仿宋" w:hAnsi="仿宋" w:hint="eastAsia"/>
          <w:color w:val="ff0000"/>
          <w:sz w:val="32"/>
          <w:highlight w:val="none"/>
        </w:rPr>
        <w:t>事项</w:t>
      </w:r>
      <w:r>
        <w:rPr>
          <w:rFonts w:ascii="仿宋" w:hAnsi="仿宋" w:hint="eastAsia"/>
          <w:sz w:val="32"/>
          <w:highlight w:val="none"/>
        </w:rPr>
        <w:t>：</w:t>
      </w:r>
      <w:r>
        <w:rPr>
          <w:rFonts w:ascii="仿宋" w:hAnsi="仿宋"/>
          <w:sz w:val="32"/>
          <w:highlight w:val="none"/>
        </w:rPr>
        <w:t>投标人</w:t>
      </w:r>
      <w:r>
        <w:rPr>
          <w:rFonts w:ascii="仿宋" w:hAnsi="仿宋" w:hint="eastAsia"/>
          <w:sz w:val="32"/>
          <w:highlight w:val="none"/>
        </w:rPr>
        <w:t>才可以进行</w:t>
      </w:r>
      <w:r>
        <w:rPr>
          <w:rFonts w:ascii="仿宋" w:hAnsi="仿宋"/>
          <w:sz w:val="32"/>
          <w:highlight w:val="none"/>
        </w:rPr>
        <w:t>保证金缴纳操作</w:t>
      </w:r>
      <w:r>
        <w:rPr>
          <w:rFonts w:ascii="仿宋" w:hAnsi="仿宋" w:hint="eastAsia"/>
          <w:sz w:val="32"/>
          <w:highlight w:val="none"/>
        </w:rPr>
        <w:t>。</w:t>
      </w:r>
    </w:p>
    <w:p w14:paraId="57FDCB7E">
      <w:pPr>
        <w:pStyle w:val="style0"/>
        <w:rPr>
          <w:rFonts w:ascii="仿宋" w:eastAsia="仿宋" w:hAnsi="仿宋" w:hint="eastAsia"/>
          <w:sz w:val="32"/>
          <w:highlight w:val="none"/>
          <w:lang w:eastAsia="zh-CN"/>
        </w:rPr>
      </w:pPr>
      <w:r>
        <w:rPr>
          <w:rFonts w:ascii="仿宋" w:hAnsi="仿宋" w:hint="eastAsia"/>
          <w:sz w:val="32"/>
          <w:highlight w:val="none"/>
        </w:rPr>
        <w:t>②通过</w:t>
      </w:r>
      <w:r>
        <w:rPr>
          <w:rFonts w:ascii="仿宋" w:hAnsi="仿宋"/>
          <w:sz w:val="32"/>
          <w:highlight w:val="none"/>
        </w:rPr>
        <w:t>保证金交纳</w:t>
      </w:r>
      <w:r>
        <w:rPr>
          <w:rFonts w:ascii="仿宋" w:hAnsi="仿宋" w:hint="eastAsia"/>
          <w:sz w:val="32"/>
          <w:highlight w:val="none"/>
        </w:rPr>
        <w:t>菜单，选择对应标段进行</w:t>
      </w:r>
      <w:r>
        <w:rPr>
          <w:rFonts w:ascii="仿宋" w:hAnsi="仿宋"/>
          <w:sz w:val="32"/>
          <w:highlight w:val="none"/>
        </w:rPr>
        <w:t>保证金交纳</w:t>
      </w:r>
      <w:r>
        <w:rPr>
          <w:rFonts w:ascii="仿宋" w:hAnsi="仿宋" w:hint="eastAsia"/>
          <w:sz w:val="32"/>
          <w:highlight w:val="none"/>
        </w:rPr>
        <w:t>，进入银行选取环节，</w:t>
      </w:r>
      <w:r>
        <w:rPr>
          <w:rFonts w:ascii="仿宋" w:hAnsi="仿宋"/>
          <w:sz w:val="32"/>
          <w:highlight w:val="none"/>
        </w:rPr>
        <w:t>选择</w:t>
      </w:r>
      <w:r>
        <w:rPr>
          <w:rFonts w:ascii="仿宋" w:hAnsi="仿宋" w:hint="eastAsia"/>
          <w:sz w:val="32"/>
          <w:highlight w:val="none"/>
        </w:rPr>
        <w:t>银行转账，进行保证金交纳</w:t>
      </w:r>
    </w:p>
    <w:p w14:paraId="1BFD9DE1">
      <w:pPr>
        <w:pStyle w:val="style0"/>
        <w:rPr>
          <w:rFonts w:ascii="仿宋" w:hAnsi="仿宋"/>
          <w:sz w:val="32"/>
          <w:highlight w:val="none"/>
        </w:rPr>
      </w:pPr>
      <w:r>
        <w:rPr>
          <w:rFonts w:ascii="仿宋" w:hAnsi="仿宋" w:hint="eastAsia"/>
          <w:color w:val="ff0000"/>
          <w:sz w:val="32"/>
          <w:highlight w:val="none"/>
        </w:rPr>
        <w:t>注意事项</w:t>
      </w:r>
      <w:r>
        <w:rPr>
          <w:rFonts w:ascii="仿宋" w:hAnsi="仿宋" w:hint="eastAsia"/>
          <w:sz w:val="32"/>
          <w:highlight w:val="none"/>
        </w:rPr>
        <w:t>：项目信息及缴纳者信息由交易系统提供。</w:t>
      </w:r>
      <w:bookmarkEnd w:id="1"/>
    </w:p>
    <w:p w14:paraId="17D367B9">
      <w:pPr>
        <w:pStyle w:val="style0"/>
        <w:rPr>
          <w:rFonts w:ascii="仿宋" w:hAnsi="仿宋"/>
          <w:sz w:val="32"/>
          <w:highlight w:val="none"/>
        </w:rPr>
      </w:pPr>
      <w:r>
        <w:rPr>
          <w:rFonts w:ascii="仿宋" w:hAnsi="仿宋" w:hint="eastAsia"/>
          <w:sz w:val="32"/>
          <w:highlight w:val="none"/>
        </w:rPr>
        <w:t>③银行接收资金管理平台交纳申请，由银行生成保证金交纳子账户，并把子账户提供给资金管理平台。</w:t>
      </w:r>
    </w:p>
    <w:p w14:paraId="7E7E615F">
      <w:pPr>
        <w:pStyle w:val="style0"/>
        <w:rPr>
          <w:rFonts w:ascii="仿宋" w:hAnsi="仿宋"/>
          <w:sz w:val="32"/>
          <w:highlight w:val="none"/>
        </w:rPr>
      </w:pPr>
      <w:r>
        <w:rPr>
          <w:rFonts w:ascii="仿宋" w:hAnsi="仿宋" w:hint="eastAsia"/>
          <w:sz w:val="32"/>
          <w:highlight w:val="none"/>
        </w:rPr>
        <w:t>④在保证金交</w:t>
      </w:r>
      <w:r>
        <w:rPr>
          <w:rFonts w:ascii="仿宋" w:hAnsi="仿宋"/>
          <w:sz w:val="32"/>
          <w:highlight w:val="none"/>
        </w:rPr>
        <w:t>纳截止</w:t>
      </w:r>
      <w:r>
        <w:rPr>
          <w:rFonts w:ascii="仿宋" w:hAnsi="仿宋" w:hint="eastAsia"/>
          <w:sz w:val="32"/>
          <w:highlight w:val="none"/>
        </w:rPr>
        <w:t>前，投标企业通过企业网银、银行柜台等渠道</w:t>
      </w:r>
      <w:r>
        <w:rPr>
          <w:rFonts w:ascii="仿宋" w:hAnsi="仿宋" w:hint="eastAsia"/>
          <w:sz w:val="32"/>
          <w:highlight w:val="none"/>
          <w:lang w:val="en-US" w:eastAsia="zh-CN"/>
        </w:rPr>
        <w:t>使用基本户</w:t>
      </w:r>
      <w:r>
        <w:rPr>
          <w:rFonts w:ascii="仿宋" w:hAnsi="仿宋" w:hint="eastAsia"/>
          <w:sz w:val="32"/>
          <w:highlight w:val="none"/>
        </w:rPr>
        <w:t>交纳足额</w:t>
      </w:r>
      <w:r>
        <w:rPr>
          <w:rFonts w:ascii="仿宋" w:hAnsi="仿宋"/>
          <w:sz w:val="32"/>
          <w:highlight w:val="none"/>
        </w:rPr>
        <w:t>投标保证金</w:t>
      </w:r>
      <w:r>
        <w:rPr>
          <w:rFonts w:ascii="仿宋" w:hAnsi="仿宋" w:hint="eastAsia"/>
          <w:sz w:val="32"/>
          <w:highlight w:val="none"/>
        </w:rPr>
        <w:t>至</w:t>
      </w:r>
      <w:r>
        <w:rPr>
          <w:rFonts w:ascii="仿宋" w:hAnsi="仿宋"/>
          <w:sz w:val="32"/>
          <w:highlight w:val="none"/>
        </w:rPr>
        <w:t>子账号中</w:t>
      </w:r>
      <w:r>
        <w:rPr>
          <w:rFonts w:ascii="仿宋" w:hAnsi="仿宋" w:hint="eastAsia"/>
          <w:sz w:val="32"/>
          <w:highlight w:val="none"/>
        </w:rPr>
        <w:t>。</w:t>
      </w:r>
    </w:p>
    <w:p w14:paraId="2F9BE882">
      <w:pPr>
        <w:pStyle w:val="style0"/>
        <w:rPr>
          <w:rFonts w:ascii="仿宋" w:hAnsi="仿宋"/>
          <w:sz w:val="32"/>
          <w:highlight w:val="none"/>
        </w:rPr>
      </w:pPr>
      <w:r>
        <w:rPr>
          <w:rFonts w:ascii="仿宋" w:hAnsi="仿宋" w:hint="eastAsia"/>
          <w:sz w:val="32"/>
          <w:highlight w:val="none"/>
        </w:rPr>
        <w:t>⑤银行成功</w:t>
      </w:r>
      <w:r>
        <w:rPr>
          <w:rFonts w:ascii="仿宋" w:hAnsi="仿宋"/>
          <w:sz w:val="32"/>
          <w:highlight w:val="none"/>
        </w:rPr>
        <w:t>入账</w:t>
      </w:r>
      <w:r>
        <w:rPr>
          <w:rFonts w:ascii="仿宋" w:hAnsi="仿宋" w:hint="eastAsia"/>
          <w:sz w:val="32"/>
          <w:highlight w:val="none"/>
        </w:rPr>
        <w:t>后，</w:t>
      </w:r>
      <w:r>
        <w:rPr>
          <w:rFonts w:ascii="仿宋" w:hAnsi="仿宋"/>
          <w:sz w:val="32"/>
          <w:highlight w:val="none"/>
        </w:rPr>
        <w:t>登录资金管理</w:t>
      </w:r>
      <w:r>
        <w:rPr>
          <w:rFonts w:ascii="仿宋" w:hAnsi="仿宋" w:hint="eastAsia"/>
          <w:sz w:val="32"/>
          <w:highlight w:val="none"/>
        </w:rPr>
        <w:t>平台，通过</w:t>
      </w:r>
      <w:r>
        <w:rPr>
          <w:rFonts w:ascii="仿宋" w:hAnsi="仿宋"/>
          <w:sz w:val="32"/>
          <w:highlight w:val="none"/>
        </w:rPr>
        <w:t>保证金</w:t>
      </w:r>
      <w:r>
        <w:rPr>
          <w:rFonts w:ascii="仿宋" w:hAnsi="仿宋" w:hint="eastAsia"/>
          <w:sz w:val="32"/>
          <w:highlight w:val="none"/>
        </w:rPr>
        <w:t>交纳</w:t>
      </w:r>
      <w:r>
        <w:rPr>
          <w:rFonts w:ascii="仿宋" w:hAnsi="仿宋"/>
          <w:sz w:val="32"/>
          <w:highlight w:val="none"/>
        </w:rPr>
        <w:t>菜单</w:t>
      </w:r>
      <w:r>
        <w:rPr>
          <w:rFonts w:ascii="仿宋" w:hAnsi="仿宋" w:hint="eastAsia"/>
          <w:sz w:val="32"/>
          <w:highlight w:val="none"/>
        </w:rPr>
        <w:t>，可</w:t>
      </w:r>
      <w:r>
        <w:rPr>
          <w:rFonts w:ascii="仿宋" w:hAnsi="仿宋"/>
          <w:sz w:val="32"/>
          <w:highlight w:val="none"/>
        </w:rPr>
        <w:t>查询到</w:t>
      </w:r>
      <w:r>
        <w:rPr>
          <w:rFonts w:ascii="仿宋" w:hAnsi="仿宋" w:hint="eastAsia"/>
          <w:sz w:val="32"/>
          <w:highlight w:val="none"/>
        </w:rPr>
        <w:t>交纳明细。</w:t>
      </w:r>
    </w:p>
    <w:p w14:paraId="7CAE9E8C">
      <w:pPr>
        <w:pStyle w:val="style0"/>
        <w:rPr>
          <w:rFonts w:ascii="仿宋" w:hAnsi="仿宋"/>
          <w:color w:val="ff0000"/>
          <w:sz w:val="32"/>
          <w:highlight w:val="none"/>
        </w:rPr>
      </w:pPr>
      <w:r>
        <w:rPr>
          <w:rFonts w:ascii="仿宋" w:hAnsi="仿宋" w:hint="eastAsia"/>
          <w:color w:val="ff0000"/>
          <w:sz w:val="32"/>
          <w:highlight w:val="none"/>
        </w:rPr>
        <w:t>注意事项：</w:t>
      </w:r>
    </w:p>
    <w:p w14:paraId="66001E50">
      <w:pPr>
        <w:pStyle w:val="style179"/>
        <w:numPr>
          <w:ilvl w:val="0"/>
          <w:numId w:val="2"/>
        </w:numPr>
        <w:ind w:firstLineChars="0"/>
        <w:rPr>
          <w:rFonts w:ascii="仿宋" w:hAnsi="仿宋"/>
          <w:sz w:val="32"/>
          <w:highlight w:val="none"/>
        </w:rPr>
      </w:pPr>
      <w:r>
        <w:rPr>
          <w:rFonts w:ascii="仿宋" w:hAnsi="仿宋" w:hint="eastAsia"/>
          <w:sz w:val="32"/>
          <w:highlight w:val="none"/>
        </w:rPr>
        <w:t>交纳</w:t>
      </w:r>
      <w:r>
        <w:rPr>
          <w:rFonts w:ascii="仿宋" w:hAnsi="仿宋"/>
          <w:sz w:val="32"/>
          <w:highlight w:val="none"/>
        </w:rPr>
        <w:t>明细中</w:t>
      </w:r>
      <w:r>
        <w:rPr>
          <w:rFonts w:ascii="仿宋" w:hAnsi="仿宋" w:hint="eastAsia"/>
          <w:sz w:val="32"/>
          <w:highlight w:val="none"/>
        </w:rPr>
        <w:t>存在“</w:t>
      </w:r>
      <w:r>
        <w:rPr>
          <w:rFonts w:ascii="仿宋" w:hAnsi="仿宋"/>
          <w:sz w:val="32"/>
          <w:highlight w:val="none"/>
        </w:rPr>
        <w:t>有效”</w:t>
      </w:r>
      <w:r>
        <w:rPr>
          <w:rFonts w:ascii="仿宋" w:hAnsi="仿宋" w:hint="eastAsia"/>
          <w:sz w:val="32"/>
          <w:highlight w:val="none"/>
        </w:rPr>
        <w:t>交易</w:t>
      </w:r>
      <w:r>
        <w:rPr>
          <w:rFonts w:ascii="仿宋" w:hAnsi="仿宋"/>
          <w:sz w:val="32"/>
          <w:highlight w:val="none"/>
        </w:rPr>
        <w:t>流水</w:t>
      </w:r>
      <w:r>
        <w:rPr>
          <w:rFonts w:ascii="仿宋" w:hAnsi="仿宋" w:hint="eastAsia"/>
          <w:sz w:val="32"/>
          <w:highlight w:val="none"/>
        </w:rPr>
        <w:t>，即该企业有</w:t>
      </w:r>
      <w:r>
        <w:rPr>
          <w:rFonts w:ascii="仿宋" w:hAnsi="仿宋"/>
          <w:sz w:val="32"/>
          <w:highlight w:val="none"/>
        </w:rPr>
        <w:t>投标资格</w:t>
      </w:r>
      <w:r>
        <w:rPr>
          <w:rFonts w:ascii="仿宋" w:hAnsi="仿宋" w:hint="eastAsia"/>
          <w:sz w:val="32"/>
          <w:highlight w:val="none"/>
        </w:rPr>
        <w:t>，有效消息会同步交易系统。</w:t>
      </w:r>
    </w:p>
    <w:p w14:paraId="1BF3096B">
      <w:pPr>
        <w:pStyle w:val="style179"/>
        <w:numPr>
          <w:ilvl w:val="0"/>
          <w:numId w:val="2"/>
        </w:numPr>
        <w:ind w:firstLineChars="0"/>
        <w:rPr>
          <w:rFonts w:ascii="仿宋" w:hAnsi="仿宋"/>
          <w:sz w:val="32"/>
          <w:highlight w:val="none"/>
        </w:rPr>
      </w:pPr>
      <w:r>
        <w:rPr>
          <w:rFonts w:ascii="仿宋" w:hAnsi="仿宋" w:hint="eastAsia"/>
          <w:sz w:val="32"/>
          <w:highlight w:val="none"/>
        </w:rPr>
        <w:t>“有效</w:t>
      </w:r>
      <w:r>
        <w:rPr>
          <w:rFonts w:ascii="仿宋" w:hAnsi="仿宋"/>
          <w:sz w:val="32"/>
          <w:highlight w:val="none"/>
        </w:rPr>
        <w:t>”</w:t>
      </w:r>
      <w:r>
        <w:rPr>
          <w:rFonts w:ascii="仿宋" w:hAnsi="仿宋" w:hint="eastAsia"/>
          <w:sz w:val="32"/>
          <w:highlight w:val="none"/>
        </w:rPr>
        <w:t>交易流水是由银行入账成功后通知资金管理平台。</w:t>
      </w:r>
    </w:p>
    <w:p w14:paraId="75CA4F00">
      <w:pPr>
        <w:pStyle w:val="style2"/>
        <w:rPr>
          <w:rFonts w:ascii="仿宋" w:hAnsi="仿宋"/>
          <w:sz w:val="28"/>
          <w:highlight w:val="none"/>
        </w:rPr>
      </w:pPr>
      <w:r>
        <w:rPr>
          <w:rFonts w:ascii="仿宋" w:hAnsi="仿宋" w:hint="eastAsia"/>
          <w:sz w:val="28"/>
          <w:highlight w:val="none"/>
          <w:lang w:val="en-US" w:eastAsia="zh-CN"/>
        </w:rPr>
        <w:t>4.3</w:t>
      </w:r>
      <w:r>
        <w:rPr>
          <w:rFonts w:ascii="仿宋" w:hAnsi="仿宋" w:hint="eastAsia"/>
          <w:sz w:val="28"/>
          <w:highlight w:val="none"/>
        </w:rPr>
        <w:t xml:space="preserve"> 退款流程图</w:t>
      </w:r>
    </w:p>
    <w:p w14:paraId="58D6798D">
      <w:pPr>
        <w:pStyle w:val="style0"/>
        <w:rPr>
          <w:highlight w:val="none"/>
        </w:rPr>
      </w:pPr>
      <w:r>
        <w:rPr>
          <w:highlight w:val="none"/>
        </w:rPr>
      </w:r>
      <w:r>
        <w:rPr>
          <w:highlight w:val="none"/>
        </w:rPr>
      </w:r>
      <w:r>
        <w:rPr>
          <w:highlight w:val="none"/>
        </w:rPr>
      </w:r>
      <w:r>
        <w:rPr>
          <w:highlight w:val="none"/>
        </w:rPr>
        <w:object>
          <v:shape id="1042" type="#_x0000_t75" filled="f" stroked="f" style="margin-left:0.0pt;margin-top:0.0pt;width:407.45pt;height:570.0pt;mso-wrap-distance-left:0.0pt;mso-wrap-distance-right:0.0pt;visibility:visible;">
            <w10:anchorlock/>
            <v:imagedata r:id="rId18" embosscolor="white" o:title=""/>
            <v:stroke on="f" joinstyle="miter"/>
            <o:lock aspectratio="true" v:ext="view"/>
            <v:fill/>
          </v:shape>
          <o:OLEObject Type="EMBED" ProgID="Visio.Drawing.15" ShapeID="1042" DrawAspect="Content" ObjectID="0" r:id="rId19"/>
        </w:object>
      </w:r>
      <w:r>
        <w:rPr>
          <w:highlight w:val="none"/>
        </w:rPr>
      </w:r>
    </w:p>
    <w:p w14:paraId="49C70E83">
      <w:pPr>
        <w:pStyle w:val="style2"/>
        <w:rPr>
          <w:rFonts w:ascii="仿宋" w:hAnsi="仿宋"/>
          <w:sz w:val="28"/>
          <w:highlight w:val="none"/>
        </w:rPr>
      </w:pPr>
      <w:r>
        <w:rPr>
          <w:rFonts w:ascii="仿宋" w:hAnsi="仿宋" w:hint="eastAsia"/>
          <w:sz w:val="28"/>
          <w:highlight w:val="none"/>
          <w:lang w:val="en-US" w:eastAsia="zh-CN"/>
        </w:rPr>
        <w:t>4.4</w:t>
      </w:r>
      <w:r>
        <w:rPr>
          <w:rFonts w:ascii="仿宋" w:hAnsi="仿宋" w:hint="eastAsia"/>
          <w:sz w:val="28"/>
          <w:highlight w:val="none"/>
        </w:rPr>
        <w:t>银行转账方式-</w:t>
      </w:r>
      <w:r>
        <w:rPr>
          <w:rFonts w:ascii="仿宋" w:hAnsi="仿宋"/>
          <w:sz w:val="28"/>
          <w:highlight w:val="none"/>
        </w:rPr>
        <w:t>保证金退款</w:t>
      </w:r>
    </w:p>
    <w:p w14:paraId="38578CCC">
      <w:pPr>
        <w:pStyle w:val="style0"/>
        <w:rPr>
          <w:rFonts w:ascii="仿宋" w:hAnsi="仿宋"/>
          <w:szCs w:val="28"/>
          <w:highlight w:val="none"/>
        </w:rPr>
      </w:pPr>
      <w:r>
        <w:rPr>
          <w:rFonts w:ascii="仿宋" w:hAnsi="仿宋" w:hint="eastAsia"/>
          <w:szCs w:val="28"/>
          <w:highlight w:val="none"/>
        </w:rPr>
        <w:t>①</w:t>
      </w:r>
      <w:r>
        <w:rPr>
          <w:rFonts w:ascii="仿宋" w:hAnsi="仿宋" w:hint="eastAsia"/>
          <w:b/>
          <w:szCs w:val="28"/>
          <w:highlight w:val="none"/>
        </w:rPr>
        <w:t>保证金退款</w:t>
      </w:r>
      <w:r>
        <w:rPr>
          <w:rFonts w:ascii="仿宋" w:hAnsi="仿宋"/>
          <w:b/>
          <w:szCs w:val="28"/>
          <w:highlight w:val="none"/>
        </w:rPr>
        <w:t>申请</w:t>
      </w:r>
      <w:r>
        <w:rPr>
          <w:rFonts w:ascii="仿宋" w:hAnsi="仿宋" w:hint="eastAsia"/>
          <w:szCs w:val="28"/>
          <w:highlight w:val="none"/>
        </w:rPr>
        <w:t>。</w:t>
      </w:r>
      <w:r>
        <w:rPr>
          <w:rFonts w:ascii="仿宋" w:hAnsi="仿宋"/>
          <w:szCs w:val="28"/>
          <w:highlight w:val="none"/>
        </w:rPr>
        <w:t>招标代理</w:t>
      </w:r>
      <w:r>
        <w:rPr>
          <w:rFonts w:ascii="仿宋" w:hAnsi="仿宋" w:hint="eastAsia"/>
          <w:szCs w:val="28"/>
          <w:highlight w:val="none"/>
        </w:rPr>
        <w:t>使用ca</w:t>
      </w:r>
      <w:r>
        <w:rPr>
          <w:rFonts w:ascii="仿宋" w:hAnsi="仿宋"/>
          <w:szCs w:val="28"/>
          <w:highlight w:val="none"/>
        </w:rPr>
        <w:t>登录</w:t>
      </w:r>
      <w:r>
        <w:rPr>
          <w:rFonts w:ascii="仿宋" w:hAnsi="仿宋" w:hint="eastAsia"/>
          <w:szCs w:val="28"/>
          <w:highlight w:val="none"/>
        </w:rPr>
        <w:t>济南公共资源交易中心官网，进入资金管理平台，通过保证金</w:t>
      </w:r>
      <w:r>
        <w:rPr>
          <w:rFonts w:ascii="仿宋" w:hAnsi="仿宋"/>
          <w:szCs w:val="28"/>
          <w:highlight w:val="none"/>
        </w:rPr>
        <w:t>退款申请</w:t>
      </w:r>
      <w:r>
        <w:rPr>
          <w:rFonts w:ascii="仿宋" w:hAnsi="仿宋" w:hint="eastAsia"/>
          <w:szCs w:val="28"/>
          <w:highlight w:val="none"/>
        </w:rPr>
        <w:t>菜单</w:t>
      </w:r>
      <w:r>
        <w:rPr>
          <w:rFonts w:ascii="仿宋" w:hAnsi="仿宋"/>
          <w:szCs w:val="28"/>
          <w:highlight w:val="none"/>
        </w:rPr>
        <w:t>，</w:t>
      </w:r>
      <w:r>
        <w:rPr>
          <w:rFonts w:ascii="仿宋" w:hAnsi="仿宋" w:hint="eastAsia"/>
          <w:szCs w:val="28"/>
          <w:highlight w:val="none"/>
        </w:rPr>
        <w:t>申请保证金退款。（选择退款</w:t>
      </w:r>
      <w:r>
        <w:rPr>
          <w:rFonts w:ascii="仿宋" w:hAnsi="仿宋"/>
          <w:szCs w:val="28"/>
          <w:highlight w:val="none"/>
        </w:rPr>
        <w:t>标段</w:t>
      </w:r>
      <w:r>
        <w:rPr>
          <w:rFonts w:ascii="仿宋" w:hAnsi="仿宋" w:hint="eastAsia"/>
          <w:szCs w:val="28"/>
          <w:highlight w:val="none"/>
        </w:rPr>
        <w:t>，选择</w:t>
      </w:r>
      <w:r>
        <w:rPr>
          <w:rFonts w:ascii="仿宋" w:hAnsi="仿宋"/>
          <w:szCs w:val="28"/>
          <w:highlight w:val="none"/>
        </w:rPr>
        <w:t>可退款的</w:t>
      </w:r>
      <w:r>
        <w:rPr>
          <w:rFonts w:ascii="仿宋" w:hAnsi="仿宋" w:hint="eastAsia"/>
          <w:szCs w:val="28"/>
          <w:highlight w:val="none"/>
        </w:rPr>
        <w:t>投标企业进行退款。）</w:t>
      </w:r>
    </w:p>
    <w:p w14:paraId="64E7E48F">
      <w:pPr>
        <w:pStyle w:val="style0"/>
        <w:rPr>
          <w:rFonts w:ascii="仿宋" w:hAnsi="仿宋"/>
          <w:szCs w:val="28"/>
          <w:highlight w:val="none"/>
        </w:rPr>
      </w:pPr>
      <w:r>
        <w:rPr>
          <w:rFonts w:ascii="仿宋" w:hAnsi="仿宋" w:hint="eastAsia"/>
          <w:szCs w:val="28"/>
          <w:highlight w:val="none"/>
        </w:rPr>
        <w:t>②银行接收退款指令，自动原路退款。</w:t>
      </w:r>
    </w:p>
    <w:p w14:paraId="59657896">
      <w:pPr>
        <w:pStyle w:val="style0"/>
        <w:rPr>
          <w:rFonts w:ascii="仿宋" w:hAnsi="仿宋"/>
          <w:szCs w:val="28"/>
          <w:highlight w:val="none"/>
        </w:rPr>
      </w:pPr>
      <w:r>
        <w:rPr>
          <w:rFonts w:ascii="仿宋" w:hAnsi="仿宋" w:hint="eastAsia"/>
          <w:szCs w:val="28"/>
          <w:highlight w:val="none"/>
        </w:rPr>
        <w:t>③</w:t>
      </w:r>
      <w:r>
        <w:rPr>
          <w:rFonts w:ascii="仿宋" w:hAnsi="仿宋" w:hint="eastAsia"/>
          <w:b/>
          <w:szCs w:val="28"/>
          <w:highlight w:val="none"/>
        </w:rPr>
        <w:t>保证金退款</w:t>
      </w:r>
      <w:r>
        <w:rPr>
          <w:rFonts w:ascii="仿宋" w:hAnsi="仿宋"/>
          <w:b/>
          <w:szCs w:val="28"/>
          <w:highlight w:val="none"/>
        </w:rPr>
        <w:t>失败管理</w:t>
      </w:r>
      <w:r>
        <w:rPr>
          <w:rFonts w:ascii="仿宋" w:hAnsi="仿宋" w:hint="eastAsia"/>
          <w:szCs w:val="28"/>
          <w:highlight w:val="none"/>
        </w:rPr>
        <w:t>。保证金退款申请中</w:t>
      </w:r>
      <w:r>
        <w:rPr>
          <w:rFonts w:ascii="仿宋" w:hAnsi="仿宋"/>
          <w:szCs w:val="28"/>
          <w:highlight w:val="none"/>
        </w:rPr>
        <w:t>退款失败</w:t>
      </w:r>
      <w:r>
        <w:rPr>
          <w:rFonts w:ascii="仿宋" w:hAnsi="仿宋" w:hint="eastAsia"/>
          <w:szCs w:val="28"/>
          <w:highlight w:val="none"/>
        </w:rPr>
        <w:t>的可以</w:t>
      </w:r>
      <w:r>
        <w:rPr>
          <w:rFonts w:ascii="仿宋" w:hAnsi="仿宋"/>
          <w:szCs w:val="28"/>
          <w:highlight w:val="none"/>
        </w:rPr>
        <w:t>重新退款</w:t>
      </w:r>
      <w:r>
        <w:rPr>
          <w:rFonts w:ascii="仿宋" w:hAnsi="仿宋" w:hint="eastAsia"/>
          <w:szCs w:val="28"/>
          <w:highlight w:val="none"/>
        </w:rPr>
        <w:t>。通过保证金退款失败</w:t>
      </w:r>
      <w:r>
        <w:rPr>
          <w:rFonts w:ascii="仿宋" w:hAnsi="仿宋"/>
          <w:szCs w:val="28"/>
          <w:highlight w:val="none"/>
        </w:rPr>
        <w:t>管理菜单，</w:t>
      </w:r>
      <w:r>
        <w:rPr>
          <w:rFonts w:ascii="仿宋" w:hAnsi="仿宋" w:hint="eastAsia"/>
          <w:szCs w:val="28"/>
          <w:highlight w:val="none"/>
        </w:rPr>
        <w:t>再</w:t>
      </w:r>
      <w:r>
        <w:rPr>
          <w:rFonts w:ascii="仿宋" w:hAnsi="仿宋"/>
          <w:szCs w:val="28"/>
          <w:highlight w:val="none"/>
        </w:rPr>
        <w:t>退款失败记录</w:t>
      </w:r>
      <w:r>
        <w:rPr>
          <w:rFonts w:ascii="仿宋" w:hAnsi="仿宋" w:hint="eastAsia"/>
          <w:szCs w:val="28"/>
          <w:highlight w:val="none"/>
        </w:rPr>
        <w:t>中发起“</w:t>
      </w:r>
      <w:r>
        <w:rPr>
          <w:rFonts w:ascii="仿宋" w:hAnsi="仿宋"/>
          <w:szCs w:val="28"/>
          <w:highlight w:val="none"/>
        </w:rPr>
        <w:t>重新退款</w:t>
      </w:r>
      <w:r>
        <w:rPr>
          <w:rFonts w:ascii="仿宋" w:hAnsi="仿宋" w:hint="eastAsia"/>
          <w:szCs w:val="28"/>
          <w:highlight w:val="none"/>
        </w:rPr>
        <w:t>”。（退款方式支持原路退款</w:t>
      </w:r>
      <w:r>
        <w:rPr>
          <w:rFonts w:ascii="仿宋" w:hAnsi="仿宋"/>
          <w:szCs w:val="28"/>
          <w:highlight w:val="none"/>
        </w:rPr>
        <w:t>和非原路，每条记录</w:t>
      </w:r>
      <w:r>
        <w:rPr>
          <w:rFonts w:ascii="仿宋" w:hAnsi="仿宋" w:hint="eastAsia"/>
          <w:szCs w:val="28"/>
          <w:highlight w:val="none"/>
        </w:rPr>
        <w:t>退款方式</w:t>
      </w:r>
      <w:r>
        <w:rPr>
          <w:rFonts w:ascii="仿宋" w:hAnsi="仿宋"/>
          <w:szCs w:val="28"/>
          <w:highlight w:val="none"/>
        </w:rPr>
        <w:t>只能二选一</w:t>
      </w:r>
      <w:r>
        <w:rPr>
          <w:rFonts w:ascii="仿宋" w:hAnsi="仿宋" w:hint="eastAsia"/>
          <w:szCs w:val="28"/>
          <w:highlight w:val="none"/>
        </w:rPr>
        <w:t>）。</w:t>
      </w:r>
    </w:p>
    <w:p w14:paraId="1DB33FA5">
      <w:pPr>
        <w:pStyle w:val="style0"/>
        <w:rPr>
          <w:rFonts w:ascii="仿宋" w:hAnsi="仿宋"/>
          <w:szCs w:val="28"/>
          <w:highlight w:val="none"/>
        </w:rPr>
      </w:pPr>
      <w:r>
        <w:rPr>
          <w:rFonts w:ascii="仿宋" w:hAnsi="仿宋" w:hint="eastAsia"/>
          <w:szCs w:val="28"/>
          <w:highlight w:val="none"/>
        </w:rPr>
        <w:t>⑤</w:t>
      </w:r>
      <w:r>
        <w:rPr>
          <w:rFonts w:ascii="仿宋" w:hAnsi="仿宋" w:hint="eastAsia"/>
          <w:b/>
          <w:szCs w:val="28"/>
          <w:highlight w:val="none"/>
        </w:rPr>
        <w:t>异常保证金</w:t>
      </w:r>
      <w:r>
        <w:rPr>
          <w:rFonts w:ascii="仿宋" w:hAnsi="仿宋"/>
          <w:b/>
          <w:szCs w:val="28"/>
          <w:highlight w:val="none"/>
        </w:rPr>
        <w:t>退款</w:t>
      </w:r>
      <w:r>
        <w:rPr>
          <w:rFonts w:ascii="仿宋" w:hAnsi="仿宋" w:hint="eastAsia"/>
          <w:szCs w:val="28"/>
          <w:highlight w:val="none"/>
        </w:rPr>
        <w:t>。</w:t>
      </w:r>
    </w:p>
    <w:p w14:paraId="4127C822">
      <w:pPr>
        <w:pStyle w:val="style179"/>
        <w:numPr>
          <w:ilvl w:val="0"/>
          <w:numId w:val="3"/>
        </w:numPr>
        <w:ind w:firstLineChars="0"/>
        <w:rPr>
          <w:rFonts w:ascii="仿宋" w:hAnsi="仿宋"/>
          <w:szCs w:val="28"/>
          <w:highlight w:val="none"/>
        </w:rPr>
      </w:pPr>
      <w:r>
        <w:rPr>
          <w:rFonts w:ascii="仿宋" w:hAnsi="仿宋" w:hint="eastAsia"/>
          <w:szCs w:val="28"/>
          <w:highlight w:val="none"/>
        </w:rPr>
        <w:t>项目</w:t>
      </w:r>
      <w:r>
        <w:rPr>
          <w:rFonts w:ascii="仿宋" w:hAnsi="仿宋"/>
          <w:szCs w:val="28"/>
          <w:highlight w:val="none"/>
        </w:rPr>
        <w:t>结束</w:t>
      </w:r>
      <w:r>
        <w:rPr>
          <w:rFonts w:ascii="仿宋" w:hAnsi="仿宋" w:hint="eastAsia"/>
          <w:szCs w:val="28"/>
          <w:highlight w:val="none"/>
        </w:rPr>
        <w:t>、</w:t>
      </w:r>
      <w:r>
        <w:rPr>
          <w:rFonts w:ascii="仿宋" w:hAnsi="仿宋"/>
          <w:szCs w:val="28"/>
          <w:highlight w:val="none"/>
        </w:rPr>
        <w:t>流标</w:t>
      </w:r>
      <w:r>
        <w:rPr>
          <w:rFonts w:ascii="仿宋" w:hAnsi="仿宋" w:hint="eastAsia"/>
          <w:szCs w:val="28"/>
          <w:highlight w:val="none"/>
        </w:rPr>
        <w:t>、</w:t>
      </w:r>
      <w:r>
        <w:rPr>
          <w:rFonts w:ascii="仿宋" w:hAnsi="仿宋"/>
          <w:szCs w:val="28"/>
          <w:highlight w:val="none"/>
        </w:rPr>
        <w:t>终止</w:t>
      </w:r>
      <w:r>
        <w:rPr>
          <w:rFonts w:ascii="仿宋" w:hAnsi="仿宋" w:hint="eastAsia"/>
          <w:szCs w:val="28"/>
          <w:highlight w:val="none"/>
        </w:rPr>
        <w:t>后到账</w:t>
      </w:r>
      <w:r>
        <w:rPr>
          <w:rFonts w:ascii="仿宋" w:hAnsi="仿宋"/>
          <w:szCs w:val="28"/>
          <w:highlight w:val="none"/>
        </w:rPr>
        <w:t>的保证金</w:t>
      </w:r>
      <w:r>
        <w:rPr>
          <w:rFonts w:ascii="仿宋" w:hAnsi="仿宋" w:hint="eastAsia"/>
          <w:szCs w:val="28"/>
          <w:highlight w:val="none"/>
        </w:rPr>
        <w:t>被称为</w:t>
      </w:r>
      <w:r>
        <w:rPr>
          <w:rFonts w:ascii="仿宋" w:hAnsi="仿宋"/>
          <w:szCs w:val="28"/>
          <w:highlight w:val="none"/>
        </w:rPr>
        <w:t>异常保证金</w:t>
      </w:r>
      <w:r>
        <w:rPr>
          <w:rFonts w:ascii="仿宋" w:hAnsi="仿宋" w:hint="eastAsia"/>
          <w:szCs w:val="28"/>
          <w:highlight w:val="none"/>
        </w:rPr>
        <w:t>。</w:t>
      </w:r>
    </w:p>
    <w:p w14:paraId="7FB058D9">
      <w:pPr>
        <w:pStyle w:val="style179"/>
        <w:numPr>
          <w:ilvl w:val="0"/>
          <w:numId w:val="3"/>
        </w:numPr>
        <w:ind w:firstLineChars="0"/>
        <w:rPr>
          <w:rFonts w:ascii="仿宋" w:hAnsi="仿宋"/>
          <w:szCs w:val="28"/>
          <w:highlight w:val="none"/>
        </w:rPr>
      </w:pPr>
      <w:r>
        <w:rPr>
          <w:rFonts w:ascii="仿宋" w:hAnsi="仿宋" w:hint="eastAsia"/>
          <w:szCs w:val="28"/>
          <w:highlight w:val="none"/>
        </w:rPr>
        <w:t>由</w:t>
      </w:r>
      <w:r>
        <w:rPr>
          <w:rFonts w:ascii="仿宋" w:hAnsi="仿宋"/>
          <w:szCs w:val="28"/>
          <w:highlight w:val="none"/>
        </w:rPr>
        <w:t>招标代理发起退款，</w:t>
      </w:r>
      <w:r>
        <w:rPr>
          <w:rFonts w:ascii="仿宋" w:hAnsi="仿宋" w:hint="eastAsia"/>
          <w:szCs w:val="28"/>
          <w:highlight w:val="none"/>
        </w:rPr>
        <w:t>支持</w:t>
      </w:r>
      <w:r>
        <w:rPr>
          <w:rFonts w:ascii="仿宋" w:hAnsi="仿宋"/>
          <w:szCs w:val="28"/>
          <w:highlight w:val="none"/>
        </w:rPr>
        <w:t>原路退</w:t>
      </w:r>
      <w:r>
        <w:rPr>
          <w:rFonts w:ascii="仿宋" w:hAnsi="仿宋" w:hint="eastAsia"/>
          <w:szCs w:val="28"/>
          <w:highlight w:val="none"/>
        </w:rPr>
        <w:t>（优先）</w:t>
      </w:r>
      <w:r>
        <w:rPr>
          <w:rFonts w:ascii="仿宋" w:hAnsi="仿宋"/>
          <w:szCs w:val="28"/>
          <w:highlight w:val="none"/>
        </w:rPr>
        <w:t>和</w:t>
      </w:r>
      <w:r>
        <w:rPr>
          <w:rFonts w:ascii="仿宋" w:hAnsi="仿宋" w:hint="eastAsia"/>
          <w:szCs w:val="28"/>
          <w:highlight w:val="none"/>
        </w:rPr>
        <w:t>非</w:t>
      </w:r>
      <w:r>
        <w:rPr>
          <w:rFonts w:ascii="仿宋" w:hAnsi="仿宋"/>
          <w:szCs w:val="28"/>
          <w:highlight w:val="none"/>
        </w:rPr>
        <w:t>原路退回两种方式</w:t>
      </w:r>
      <w:r>
        <w:rPr>
          <w:rFonts w:ascii="仿宋" w:hAnsi="仿宋" w:hint="eastAsia"/>
          <w:szCs w:val="28"/>
          <w:highlight w:val="none"/>
        </w:rPr>
        <w:t>。</w:t>
      </w:r>
    </w:p>
    <w:p w14:paraId="0119221F">
      <w:pPr>
        <w:pStyle w:val="style179"/>
        <w:numPr>
          <w:ilvl w:val="0"/>
          <w:numId w:val="3"/>
        </w:numPr>
        <w:ind w:firstLineChars="0"/>
        <w:rPr>
          <w:rFonts w:ascii="仿宋" w:hAnsi="仿宋"/>
          <w:szCs w:val="28"/>
          <w:highlight w:val="none"/>
        </w:rPr>
      </w:pPr>
      <w:r>
        <w:rPr>
          <w:rFonts w:ascii="仿宋" w:hAnsi="仿宋" w:hint="eastAsia"/>
          <w:szCs w:val="28"/>
          <w:highlight w:val="none"/>
        </w:rPr>
        <w:t>通过异常保证金退款</w:t>
      </w:r>
      <w:r>
        <w:rPr>
          <w:rFonts w:ascii="仿宋" w:hAnsi="仿宋"/>
          <w:szCs w:val="28"/>
          <w:highlight w:val="none"/>
        </w:rPr>
        <w:t>菜单</w:t>
      </w:r>
      <w:r>
        <w:rPr>
          <w:rFonts w:ascii="仿宋" w:hAnsi="仿宋" w:hint="eastAsia"/>
          <w:szCs w:val="28"/>
          <w:highlight w:val="none"/>
        </w:rPr>
        <w:t>，在</w:t>
      </w:r>
      <w:r>
        <w:rPr>
          <w:rFonts w:ascii="仿宋" w:hAnsi="仿宋"/>
          <w:szCs w:val="28"/>
          <w:highlight w:val="none"/>
        </w:rPr>
        <w:t>退款记录</w:t>
      </w:r>
      <w:r>
        <w:rPr>
          <w:rFonts w:ascii="仿宋" w:hAnsi="仿宋" w:hint="eastAsia"/>
          <w:szCs w:val="28"/>
          <w:highlight w:val="none"/>
        </w:rPr>
        <w:t>操作列中</w:t>
      </w:r>
      <w:r>
        <w:rPr>
          <w:rFonts w:ascii="仿宋" w:hAnsi="仿宋"/>
          <w:szCs w:val="28"/>
          <w:highlight w:val="none"/>
        </w:rPr>
        <w:t>选择退款方式进行退款</w:t>
      </w:r>
      <w:r>
        <w:rPr>
          <w:rFonts w:ascii="仿宋" w:hAnsi="仿宋" w:hint="eastAsia"/>
          <w:szCs w:val="28"/>
          <w:highlight w:val="none"/>
        </w:rPr>
        <w:t>。</w:t>
      </w:r>
    </w:p>
    <w:p w14:paraId="399FDCDD">
      <w:pPr>
        <w:pStyle w:val="style0"/>
        <w:rPr>
          <w:rFonts w:ascii="仿宋" w:hAnsi="仿宋"/>
          <w:color w:val="ff0000"/>
          <w:szCs w:val="28"/>
          <w:highlight w:val="none"/>
        </w:rPr>
      </w:pPr>
      <w:r>
        <w:rPr>
          <w:rFonts w:ascii="仿宋" w:hAnsi="仿宋" w:hint="eastAsia"/>
          <w:color w:val="ff0000"/>
          <w:szCs w:val="28"/>
          <w:highlight w:val="none"/>
        </w:rPr>
        <w:t>注意事项：</w:t>
      </w:r>
    </w:p>
    <w:p w14:paraId="149F564D">
      <w:pPr>
        <w:pStyle w:val="style94"/>
        <w:numPr>
          <w:ilvl w:val="0"/>
          <w:numId w:val="4"/>
        </w:numPr>
        <w:spacing w:before="0" w:beforeAutospacing="false" w:after="0" w:afterAutospacing="false"/>
        <w:rPr>
          <w:rFonts w:ascii="仿宋" w:cs="Calibri" w:eastAsia="仿宋" w:hAnsi="仿宋"/>
          <w:sz w:val="28"/>
          <w:szCs w:val="28"/>
          <w:highlight w:val="none"/>
        </w:rPr>
      </w:pPr>
      <w:r>
        <w:rPr>
          <w:rFonts w:ascii="仿宋" w:cs="Calibri" w:eastAsia="仿宋" w:hAnsi="仿宋" w:hint="eastAsia"/>
          <w:sz w:val="28"/>
          <w:szCs w:val="28"/>
          <w:highlight w:val="none"/>
        </w:rPr>
        <w:t>退款共分2种，第</w:t>
      </w:r>
      <w:r>
        <w:rPr>
          <w:rFonts w:ascii="仿宋" w:cs="Calibri" w:eastAsia="仿宋" w:hAnsi="仿宋"/>
          <w:sz w:val="28"/>
          <w:szCs w:val="28"/>
          <w:highlight w:val="none"/>
        </w:rPr>
        <w:t>1</w:t>
      </w:r>
      <w:r>
        <w:rPr>
          <w:rFonts w:ascii="仿宋" w:cs="Calibri" w:eastAsia="仿宋" w:hAnsi="仿宋" w:hint="eastAsia"/>
          <w:sz w:val="28"/>
          <w:szCs w:val="28"/>
          <w:highlight w:val="none"/>
        </w:rPr>
        <w:t>种原路退款，第2种非原路退款。</w:t>
      </w:r>
    </w:p>
    <w:p w14:paraId="4B720098">
      <w:pPr>
        <w:pStyle w:val="style94"/>
        <w:numPr>
          <w:ilvl w:val="0"/>
          <w:numId w:val="4"/>
        </w:numPr>
        <w:spacing w:before="0" w:beforeAutospacing="false" w:after="0" w:afterAutospacing="false"/>
        <w:rPr>
          <w:rFonts w:ascii="仿宋" w:cs="Calibri" w:eastAsia="仿宋" w:hAnsi="仿宋"/>
          <w:sz w:val="28"/>
          <w:szCs w:val="28"/>
          <w:highlight w:val="none"/>
        </w:rPr>
      </w:pPr>
      <w:r>
        <w:rPr>
          <w:rFonts w:ascii="仿宋" w:cs="Calibri" w:eastAsia="仿宋" w:hAnsi="仿宋" w:hint="eastAsia"/>
          <w:sz w:val="28"/>
          <w:szCs w:val="28"/>
          <w:highlight w:val="none"/>
        </w:rPr>
        <w:t>原路退款：保证金入账付款账号信息作为退款时的收款信息。</w:t>
      </w:r>
    </w:p>
    <w:p w14:paraId="1E63DFB1">
      <w:pPr>
        <w:pStyle w:val="style94"/>
        <w:numPr>
          <w:ilvl w:val="0"/>
          <w:numId w:val="4"/>
        </w:numPr>
        <w:spacing w:before="0" w:beforeAutospacing="false" w:after="0" w:afterAutospacing="false"/>
        <w:rPr>
          <w:rFonts w:ascii="仿宋" w:cs="Calibri" w:eastAsia="仿宋" w:hAnsi="仿宋"/>
          <w:sz w:val="28"/>
          <w:szCs w:val="28"/>
          <w:highlight w:val="none"/>
        </w:rPr>
      </w:pPr>
      <w:r>
        <w:rPr>
          <w:rFonts w:ascii="仿宋" w:cs="Calibri" w:eastAsia="仿宋" w:hAnsi="仿宋" w:hint="eastAsia"/>
          <w:sz w:val="28"/>
          <w:szCs w:val="28"/>
          <w:highlight w:val="none"/>
        </w:rPr>
        <w:t>非原路退款：退款时的收款账户信息和保证金缴纳的付款信息不一致，需要重新维护账号，重新进行退款。</w:t>
      </w:r>
    </w:p>
    <w:p w14:paraId="733638AC">
      <w:pPr>
        <w:pStyle w:val="style94"/>
        <w:numPr>
          <w:ilvl w:val="0"/>
          <w:numId w:val="4"/>
        </w:numPr>
        <w:spacing w:before="0" w:beforeAutospacing="false" w:after="0" w:afterAutospacing="false"/>
        <w:rPr>
          <w:rFonts w:ascii="仿宋" w:cs="Calibri" w:eastAsia="仿宋" w:hAnsi="仿宋"/>
          <w:sz w:val="28"/>
          <w:szCs w:val="28"/>
          <w:highlight w:val="none"/>
        </w:rPr>
      </w:pPr>
      <w:r>
        <w:rPr>
          <w:rFonts w:ascii="仿宋" w:cs="Calibri" w:eastAsia="仿宋" w:hAnsi="仿宋" w:hint="eastAsia"/>
          <w:sz w:val="28"/>
          <w:szCs w:val="28"/>
          <w:highlight w:val="none"/>
        </w:rPr>
        <w:t>非原路退款的账号需要在中心审核备案，系统中维护新账号才可重新发起退款。</w:t>
      </w:r>
    </w:p>
    <w:p w14:paraId="1EA7CD13">
      <w:pPr>
        <w:pStyle w:val="style94"/>
        <w:numPr>
          <w:ilvl w:val="0"/>
          <w:numId w:val="4"/>
        </w:numPr>
        <w:spacing w:before="0" w:beforeAutospacing="false" w:after="0" w:afterAutospacing="false"/>
        <w:rPr>
          <w:rFonts w:ascii="仿宋" w:cs="Calibri" w:eastAsia="仿宋" w:hAnsi="仿宋"/>
          <w:sz w:val="28"/>
          <w:szCs w:val="28"/>
          <w:highlight w:val="none"/>
        </w:rPr>
      </w:pPr>
      <w:r>
        <w:rPr>
          <w:rFonts w:ascii="仿宋" w:eastAsia="仿宋" w:hAnsi="仿宋" w:hint="eastAsia"/>
          <w:sz w:val="32"/>
          <w:highlight w:val="none"/>
        </w:rPr>
        <w:t>退款单位名称与投标单位名称必须保持一致。</w:t>
      </w:r>
    </w:p>
    <w:p w14:paraId="16BCA8DE">
      <w:pPr>
        <w:pStyle w:val="style179"/>
        <w:numPr>
          <w:ilvl w:val="0"/>
          <w:numId w:val="4"/>
        </w:numPr>
        <w:ind w:firstLineChars="0"/>
        <w:rPr>
          <w:rFonts w:ascii="仿宋" w:hAnsi="仿宋"/>
          <w:sz w:val="32"/>
          <w:highlight w:val="none"/>
        </w:rPr>
      </w:pPr>
      <w:r>
        <w:rPr>
          <w:rFonts w:ascii="仿宋" w:hAnsi="仿宋" w:hint="eastAsia"/>
          <w:sz w:val="32"/>
          <w:highlight w:val="none"/>
        </w:rPr>
        <w:t>未入围中标候选人，中标公示发布5日内，由代理机构申请退款。</w:t>
      </w:r>
    </w:p>
    <w:p w14:paraId="5EE31B7C">
      <w:pPr>
        <w:pStyle w:val="style179"/>
        <w:numPr>
          <w:ilvl w:val="0"/>
          <w:numId w:val="4"/>
        </w:numPr>
        <w:ind w:firstLineChars="0"/>
        <w:rPr>
          <w:rFonts w:ascii="仿宋" w:hAnsi="仿宋"/>
          <w:sz w:val="32"/>
          <w:highlight w:val="none"/>
        </w:rPr>
      </w:pPr>
      <w:r>
        <w:rPr>
          <w:rFonts w:ascii="仿宋" w:hAnsi="仿宋" w:hint="eastAsia"/>
          <w:sz w:val="32"/>
          <w:highlight w:val="none"/>
        </w:rPr>
        <w:t>未中标的中标候选人，中标公示发布5日内，由代理机构申请退款。</w:t>
      </w:r>
    </w:p>
    <w:p w14:paraId="33A0B877">
      <w:pPr>
        <w:pStyle w:val="style179"/>
        <w:numPr>
          <w:ilvl w:val="0"/>
          <w:numId w:val="4"/>
        </w:numPr>
        <w:ind w:firstLineChars="0"/>
        <w:rPr>
          <w:rFonts w:ascii="仿宋" w:hAnsi="仿宋"/>
          <w:sz w:val="32"/>
          <w:highlight w:val="none"/>
        </w:rPr>
      </w:pPr>
      <w:r>
        <w:rPr>
          <w:rFonts w:ascii="仿宋" w:hAnsi="仿宋" w:hint="eastAsia"/>
          <w:sz w:val="32"/>
          <w:highlight w:val="none"/>
        </w:rPr>
        <w:t>中标人，代理机构最迟应在书面合同签订后 5 日内上传中标合同，申请退款。</w:t>
      </w:r>
    </w:p>
    <w:p w14:paraId="50EDC3D0">
      <w:pPr>
        <w:pStyle w:val="style0"/>
        <w:rPr>
          <w:rFonts w:ascii="仿宋" w:hAnsi="仿宋" w:hint="eastAsia"/>
          <w:highlight w:val="none"/>
        </w:rPr>
      </w:pPr>
    </w:p>
    <w:sectPr>
      <w:headerReference w:type="default" r:id="rId20"/>
      <w:footerReference w:type="default" r:id="rId21"/>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200247B" w:usb2="00000009" w:usb3="00000000" w:csb0="200001FF" w:csb1="00000000"/>
  </w:font>
  <w:font w:name="等线">
    <w:altName w:val="等线"/>
    <w:panose1 w:val="02010600030001010101"/>
    <w:charset w:val="86"/>
    <w:family w:val="auto"/>
    <w:pitch w:val="default"/>
    <w:sig w:usb0="A00002BF" w:usb1="38CF7CFA" w:usb2="00000016" w:usb3="00000000" w:csb0="0004000F" w:csb1="00000000"/>
  </w:font>
  <w:font w:name="仿宋">
    <w:altName w:val="仿宋"/>
    <w:panose1 w:val="02010609060001010101"/>
    <w:charset w:val="86"/>
    <w:family w:val="modern"/>
    <w:pitch w:val="default"/>
    <w:sig w:usb0="800002BF" w:usb1="38CF7CFA" w:usb2="00000016" w:usb3="00000000" w:csb0="00040001" w:csb1="00000000"/>
  </w:font>
  <w:font w:name="等线 Light">
    <w:altName w:val="等线 Light"/>
    <w:panose1 w:val="02010600030001010101"/>
    <w:charset w:val="86"/>
    <w:family w:val="auto"/>
    <w:pitch w:val="default"/>
    <w:sig w:usb0="A00002BF" w:usb1="38CF7CFA" w:usb2="00000016" w:usb3="00000000" w:csb0="0004000F" w:csb1="00000000"/>
  </w:font>
  <w:font w:name="微软雅黑">
    <w:altName w:val="微软雅黑"/>
    <w:panose1 w:val="020b0503020002020204"/>
    <w:charset w:val="86"/>
    <w:family w:val="auto"/>
    <w:pitch w:val="default"/>
    <w:sig w:usb0="80000287" w:usb1="2ACF3C50" w:usb2="00000016" w:usb3="00000000" w:csb0="0004001F" w:csb1="00000000"/>
  </w:font>
  <w:font w:name="Tahoma">
    <w:altName w:val="Tahoma"/>
    <w:panose1 w:val="020b0604030005040204"/>
    <w:charset w:val="00"/>
    <w:family w:val="auto"/>
    <w:pitch w:val="default"/>
    <w:sig w:usb0="E1002EFF" w:usb1="C000605B" w:usb2="00000029" w:usb3="00000000" w:csb0="200101FF" w:csb1="2028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6FFA29E4">
    <w:pPr>
      <w:pStyle w:val="style32"/>
      <w:rPr/>
    </w:pPr>
    <w:r>
      <w:rPr>
        <w:sz w:val="18"/>
      </w:rPr>
      <mc:AlternateContent>
        <mc:Choice Requires="wps">
          <w:drawing>
            <wp:anchor distT="0" distB="0" distL="0" distR="0" simplePos="false" relativeHeight="2"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097" name="文本框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28800" cy="1828800"/>
                      </a:xfrm>
                      <a:prstGeom prst="rect"/>
                      <a:ln>
                        <a:noFill/>
                      </a:ln>
                    </wps:spPr>
                    <wps:txbx id="4097">
                      <w:txbxContent>
                        <w:p w14:paraId="3A52AE62">
                          <w:pPr>
                            <w:pStyle w:val="style32"/>
                            <w:rPr/>
                          </w:pPr>
                          <w:r>
                            <w:rPr/>
                            <w:fldChar w:fldCharType="begin"/>
                          </w:r>
                          <w:r>
                            <w:instrText xml:space="preserve"> PAGE  \* MERGEFORMAT </w:instrText>
                          </w:r>
                          <w:r>
                            <w:rPr/>
                            <w:fldChar w:fldCharType="separate"/>
                          </w:r>
                          <w:r>
                            <w:t>1</w:t>
                          </w:r>
                          <w:r>
                            <w:rPr/>
                            <w:fldChar w:fldCharType="end"/>
                          </w:r>
                        </w:p>
                      </w:txbxContent>
                    </wps:txbx>
                    <wps:bodyPr lIns="0" rIns="0" tIns="0" bIns="0" vert="horz" anchor="t" wrap="none" upright="false">
                      <a:prstTxWarp prst="textNoShape"/>
                      <a:spAutoFit/>
                    </wps:bodyPr>
                  </wps:wsp>
                </a:graphicData>
              </a:graphic>
            </wp:anchor>
          </w:drawing>
        </mc:Choice>
        <mc:Fallback>
          <w:pict>
            <v:rect id="4097" filled="f" stroked="f" style="position:absolute;margin-left:0.0pt;margin-top:0.0pt;width:144.0pt;height:144.0pt;z-index:2;mso-position-horizontal:center;mso-position-horizontal-relative:margin;mso-position-vertical-relative:text;mso-width-relative:page;mso-height-relative:page;mso-wrap-distance-left:0.0pt;mso-wrap-distance-right:0.0pt;visibility:visible;mso-wrap-style:none;">
              <v:stroke on="f" weight="0.5pt"/>
              <v:fill/>
              <v:textbox inset="0.0pt,0.0pt,0.0pt,0.0pt" style="mso-fit-shape-to-text:true;">
                <w:txbxContent>
                  <w:p w14:paraId="3A52AE62">
                    <w:pPr>
                      <w:pStyle w:val="style32"/>
                      <w:rPr/>
                    </w:pPr>
                    <w:r>
                      <w:rPr/>
                      <w:fldChar w:fldCharType="begin"/>
                    </w:r>
                    <w:r>
                      <w:instrText xml:space="preserve"> PAGE  \* MERGEFORMAT </w:instrText>
                    </w:r>
                    <w:r>
                      <w:rPr/>
                      <w:fldChar w:fldCharType="separate"/>
                    </w:r>
                    <w:r>
                      <w:t>1</w:t>
                    </w:r>
                    <w:r>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14:paraId="118E313C">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E742E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0000001"/>
    <w:multiLevelType w:val="multilevel"/>
    <w:tmpl w:val="1BA839E6"/>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2"/>
    <w:multiLevelType w:val="multilevel"/>
    <w:tmpl w:val="651D454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0000003"/>
    <w:multiLevelType w:val="multilevel"/>
    <w:tmpl w:val="6A104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rPr>
    </w:rPrDefault>
    <w:pPrDefault>
      <w:pPr/>
    </w:pPrDefault>
  </w:docDefaults>
  <w:style w:type="paragraph" w:default="1" w:styleId="style0">
    <w:name w:val="Normal"/>
    <w:next w:val="style0"/>
    <w:qFormat/>
    <w:uiPriority w:val="0"/>
    <w:pPr>
      <w:widowControl w:val="false"/>
      <w:jc w:val="both"/>
    </w:pPr>
    <w:rPr>
      <w:rFonts w:ascii="等线" w:cs="Times New Roman" w:eastAsia="仿宋" w:hAnsi="等线"/>
      <w:kern w:val="2"/>
      <w:sz w:val="28"/>
      <w:szCs w:val="22"/>
      <w:lang w:val="en-US" w:bidi="ar-SA" w:eastAsia="zh-CN"/>
    </w:rPr>
  </w:style>
  <w:style w:type="paragraph" w:styleId="style1">
    <w:name w:val="heading 1"/>
    <w:basedOn w:val="style0"/>
    <w:next w:val="style0"/>
    <w:link w:val="style4099"/>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100"/>
    <w:qFormat/>
    <w:uiPriority w:val="9"/>
    <w:pPr>
      <w:keepNext/>
      <w:keepLines/>
      <w:spacing w:before="260" w:after="260" w:lineRule="auto" w:line="416"/>
      <w:outlineLvl w:val="1"/>
    </w:pPr>
    <w:rPr>
      <w:rFonts w:ascii="等线 Light" w:cs="宋体" w:hAnsi="等线 Light"/>
      <w:b/>
      <w:bCs/>
      <w:sz w:val="32"/>
      <w:szCs w:val="32"/>
    </w:rPr>
  </w:style>
  <w:style w:type="paragraph" w:styleId="style3">
    <w:name w:val="heading 3"/>
    <w:basedOn w:val="style0"/>
    <w:next w:val="style0"/>
    <w:link w:val="style4101"/>
    <w:qFormat/>
    <w:uiPriority w:val="9"/>
    <w:pPr>
      <w:keepNext/>
      <w:keepLines/>
      <w:spacing w:before="260" w:after="260" w:lineRule="auto" w:line="416"/>
      <w:outlineLvl w:val="2"/>
    </w:pPr>
    <w:rPr>
      <w:b/>
      <w:bCs/>
      <w:sz w:val="32"/>
      <w:szCs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76">
    <w:name w:val="Date"/>
    <w:basedOn w:val="style0"/>
    <w:next w:val="style0"/>
    <w:link w:val="style4102"/>
    <w:qFormat/>
    <w:uiPriority w:val="99"/>
    <w:pPr>
      <w:ind w:left="100" w:leftChars="2500"/>
    </w:pPr>
    <w:rPr/>
  </w:style>
  <w:style w:type="paragraph" w:styleId="style153">
    <w:name w:val="Balloon Text"/>
    <w:basedOn w:val="style0"/>
    <w:next w:val="style153"/>
    <w:link w:val="style4103"/>
    <w:qFormat/>
    <w:uiPriority w:val="99"/>
    <w:pPr/>
    <w:rPr>
      <w:sz w:val="18"/>
      <w:szCs w:val="18"/>
    </w:rPr>
  </w:style>
  <w:style w:type="paragraph" w:styleId="style32">
    <w:name w:val="footer"/>
    <w:basedOn w:val="style0"/>
    <w:next w:val="style32"/>
    <w:link w:val="style4098"/>
    <w:qFormat/>
    <w:uiPriority w:val="99"/>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7"/>
    <w:qFormat/>
    <w:uiPriority w:val="99"/>
    <w:pPr>
      <w:pBdr>
        <w:bottom w:val="single" w:sz="6" w:space="1" w:color="auto"/>
      </w:pBdr>
      <w:tabs>
        <w:tab w:val="center" w:leader="none" w:pos="4153"/>
        <w:tab w:val="right" w:leader="none" w:pos="8306"/>
      </w:tabs>
      <w:snapToGrid w:val="false"/>
      <w:jc w:val="center"/>
    </w:pPr>
    <w:rPr>
      <w:sz w:val="18"/>
      <w:szCs w:val="18"/>
    </w:rPr>
  </w:style>
  <w:style w:type="paragraph" w:styleId="style94">
    <w:name w:val="Normal (Web)"/>
    <w:basedOn w:val="style0"/>
    <w:next w:val="style94"/>
    <w:qFormat/>
    <w:uiPriority w:val="99"/>
    <w:pPr>
      <w:widowControl/>
      <w:spacing w:before="100" w:beforeAutospacing="true" w:after="100" w:afterAutospacing="true"/>
      <w:jc w:val="left"/>
    </w:pPr>
    <w:rPr>
      <w:rFonts w:ascii="宋体" w:cs="宋体" w:eastAsia="宋体" w:hAnsi="宋体"/>
      <w:kern w:val="0"/>
      <w:sz w:val="24"/>
      <w:szCs w:val="24"/>
    </w:rPr>
  </w:style>
  <w:style w:type="character" w:customStyle="1" w:styleId="style4097">
    <w:name w:val="页眉 字符"/>
    <w:basedOn w:val="style65"/>
    <w:next w:val="style4097"/>
    <w:link w:val="style31"/>
    <w:qFormat/>
    <w:uiPriority w:val="99"/>
    <w:rPr>
      <w:rFonts w:ascii="等线" w:cs="Times New Roman" w:eastAsia="仿宋" w:hAnsi="等线"/>
      <w:sz w:val="18"/>
      <w:szCs w:val="18"/>
    </w:rPr>
  </w:style>
  <w:style w:type="character" w:customStyle="1" w:styleId="style4098">
    <w:name w:val="页脚 字符"/>
    <w:basedOn w:val="style65"/>
    <w:next w:val="style4098"/>
    <w:link w:val="style32"/>
    <w:qFormat/>
    <w:uiPriority w:val="99"/>
    <w:rPr>
      <w:rFonts w:ascii="等线" w:cs="Times New Roman" w:eastAsia="仿宋" w:hAnsi="等线"/>
      <w:sz w:val="18"/>
      <w:szCs w:val="18"/>
    </w:rPr>
  </w:style>
  <w:style w:type="paragraph" w:styleId="style179">
    <w:name w:val="List Paragraph"/>
    <w:basedOn w:val="style0"/>
    <w:next w:val="style179"/>
    <w:qFormat/>
    <w:uiPriority w:val="34"/>
    <w:pPr>
      <w:ind w:firstLine="420" w:firstLineChars="200"/>
    </w:pPr>
    <w:rPr/>
  </w:style>
  <w:style w:type="character" w:customStyle="1" w:styleId="style4099">
    <w:name w:val="标题 1 字符"/>
    <w:basedOn w:val="style65"/>
    <w:next w:val="style4099"/>
    <w:link w:val="style1"/>
    <w:qFormat/>
    <w:uiPriority w:val="9"/>
    <w:rPr>
      <w:rFonts w:ascii="等线" w:cs="Times New Roman" w:eastAsia="仿宋" w:hAnsi="等线"/>
      <w:b/>
      <w:bCs/>
      <w:kern w:val="44"/>
      <w:sz w:val="44"/>
      <w:szCs w:val="44"/>
    </w:rPr>
  </w:style>
  <w:style w:type="character" w:customStyle="1" w:styleId="style4100">
    <w:name w:val="标题 2 字符"/>
    <w:basedOn w:val="style65"/>
    <w:next w:val="style4100"/>
    <w:link w:val="style2"/>
    <w:qFormat/>
    <w:uiPriority w:val="9"/>
    <w:rPr>
      <w:rFonts w:ascii="等线 Light" w:cs="宋体" w:eastAsia="仿宋" w:hAnsi="等线 Light"/>
      <w:b/>
      <w:bCs/>
      <w:sz w:val="32"/>
      <w:szCs w:val="32"/>
    </w:rPr>
  </w:style>
  <w:style w:type="character" w:customStyle="1" w:styleId="style4101">
    <w:name w:val="标题 3 字符"/>
    <w:basedOn w:val="style65"/>
    <w:next w:val="style4101"/>
    <w:link w:val="style3"/>
    <w:qFormat/>
    <w:uiPriority w:val="9"/>
    <w:rPr>
      <w:rFonts w:ascii="等线" w:cs="Times New Roman" w:eastAsia="仿宋" w:hAnsi="等线"/>
      <w:b/>
      <w:bCs/>
      <w:sz w:val="32"/>
      <w:szCs w:val="32"/>
    </w:rPr>
  </w:style>
  <w:style w:type="character" w:customStyle="1" w:styleId="style4102">
    <w:name w:val="日期 字符"/>
    <w:basedOn w:val="style65"/>
    <w:next w:val="style4102"/>
    <w:link w:val="style76"/>
    <w:qFormat/>
    <w:uiPriority w:val="99"/>
    <w:rPr>
      <w:rFonts w:ascii="等线" w:cs="Times New Roman" w:eastAsia="仿宋" w:hAnsi="等线"/>
      <w:sz w:val="28"/>
    </w:rPr>
  </w:style>
  <w:style w:type="character" w:customStyle="1" w:styleId="style4103">
    <w:name w:val="批注框文本 字符"/>
    <w:basedOn w:val="style65"/>
    <w:next w:val="style4103"/>
    <w:link w:val="style153"/>
    <w:qFormat/>
    <w:uiPriority w:val="99"/>
    <w:rPr>
      <w:rFonts w:ascii="等线" w:cs="Times New Roman" w:eastAsia="仿宋" w:hAnsi="等线"/>
      <w:sz w:val="18"/>
      <w:szCs w:val="18"/>
    </w:rPr>
  </w:style>
</w:styles>
</file>

<file path=word/_rels/document.xml.rels><?xml version="1.0" encoding="UTF-8"?>
<Relationships xmlns="http://schemas.openxmlformats.org/package/2006/relationships"><Relationship Id="rId20" Type="http://schemas.openxmlformats.org/officeDocument/2006/relationships/header" Target="header1.xml"/><Relationship Id="rId22" Type="http://schemas.openxmlformats.org/officeDocument/2006/relationships/styles" Target="styles.xml"/><Relationship Id="rId21" Type="http://schemas.openxmlformats.org/officeDocument/2006/relationships/footer" Target="footer2.xml"/><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oleObject" Target="embeddings/oleObject1.bin"/><Relationship Id="rId12"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4.emf"/><Relationship Id="rId19" Type="http://schemas.openxmlformats.org/officeDocument/2006/relationships/oleObject" Target="embeddings/oleObject4.bin"/><Relationship Id="rId1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Words>2003</Words>
  <Pages>16</Pages>
  <Characters>2035</Characters>
  <Application>WPS Office</Application>
  <DocSecurity>0</DocSecurity>
  <Paragraphs>123</Paragraphs>
  <ScaleCrop>false</ScaleCrop>
  <LinksUpToDate>false</LinksUpToDate>
  <CharactersWithSpaces>2039</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2020-11-06T08:21:00Z</dcterms:created>
  <dc:creator>EDZ</dc:creator>
  <lastModifiedBy>PHT110</lastModifiedBy>
  <lastPrinted>2020-10-23T02:16:00Z</lastPrinted>
  <dcterms:modified xsi:type="dcterms:W3CDTF">2024-12-31T10:43:20Z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eyJoZGlkIjoiZDI3YzlhMDdiNzgyNDY2ZDIyZTI4YjRjNjE4YmY0YzgiLCJ1c2VySWQiOiIzMDE4OTc5MSJ9</vt:lpwstr>
  </property>
  <property fmtid="{D5CDD505-2E9C-101B-9397-08002B2CF9AE}" pid="3" name="KSOProductBuildVer">
    <vt:lpwstr>2052-12.1.0.17827</vt:lpwstr>
  </property>
  <property fmtid="{D5CDD505-2E9C-101B-9397-08002B2CF9AE}" pid="4" name="ICV">
    <vt:lpwstr>767FF0F6A10B4B5581860865989985D6_13</vt:lpwstr>
  </property>
</Properties>
</file>