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E9" w:rsidRPr="002406A0" w:rsidRDefault="006420E9" w:rsidP="006420E9">
      <w:pPr>
        <w:ind w:rightChars="135" w:right="283"/>
        <w:jc w:val="center"/>
        <w:rPr>
          <w:rFonts w:ascii="仿宋" w:eastAsia="仿宋" w:hAnsi="仿宋" w:cs="Times New Roman"/>
          <w:color w:val="000000"/>
          <w:sz w:val="30"/>
          <w:szCs w:val="30"/>
        </w:rPr>
      </w:pPr>
      <w:r w:rsidRPr="002406A0">
        <w:rPr>
          <w:rFonts w:ascii="仿宋" w:eastAsia="仿宋" w:hAnsi="仿宋" w:cs="Times New Roman" w:hint="eastAsia"/>
          <w:b/>
          <w:sz w:val="30"/>
          <w:szCs w:val="30"/>
        </w:rPr>
        <w:t>报价明细表</w:t>
      </w:r>
      <w:bookmarkStart w:id="0" w:name="_GoBack"/>
      <w:bookmarkEnd w:id="0"/>
    </w:p>
    <w:p w:rsidR="006420E9" w:rsidRDefault="006420E9" w:rsidP="006420E9">
      <w:pPr>
        <w:rPr>
          <w:rFonts w:ascii="仿宋" w:eastAsia="仿宋" w:hAnsi="仿宋" w:cs="Times New Roman"/>
          <w:color w:val="0000FF"/>
          <w:sz w:val="24"/>
          <w:szCs w:val="24"/>
          <w:u w:val="single"/>
        </w:rPr>
      </w:pP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项目编号及包号：</w:t>
      </w:r>
      <w:permStart w:id="883494323" w:edGrp="everyone"/>
      <w:r w:rsidRPr="004E3EFF">
        <w:rPr>
          <w:rFonts w:ascii="仿宋" w:eastAsia="仿宋" w:hAnsi="仿宋" w:cs="Times New Roman"/>
          <w:color w:val="000000"/>
          <w:sz w:val="24"/>
          <w:szCs w:val="24"/>
        </w:rPr>
        <w:t>JNCZ-JC-2020-0083</w:t>
      </w:r>
    </w:p>
    <w:permEnd w:id="883494323"/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供应商名称（盖章）：</w:t>
      </w:r>
      <w:proofErr w:type="gramStart"/>
      <w:r w:rsidRPr="002406A0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>山东宣艺文化</w:t>
      </w:r>
      <w:proofErr w:type="gramEnd"/>
      <w:r w:rsidRPr="002406A0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>传播有限公司</w:t>
      </w: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</w:t>
      </w:r>
    </w:p>
    <w:p w:rsidR="006420E9" w:rsidRPr="002406A0" w:rsidRDefault="006420E9" w:rsidP="006420E9">
      <w:pPr>
        <w:ind w:rightChars="135" w:right="283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法定代表人或授权代理人签字：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</w:t>
      </w: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20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20</w:t>
      </w: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年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6</w:t>
      </w: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8</w:t>
      </w: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日                                                   </w:t>
      </w: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  <w:r w:rsidRPr="002406A0">
        <w:rPr>
          <w:rFonts w:ascii="仿宋" w:eastAsia="仿宋" w:hAnsi="仿宋" w:cs="Times New Roman" w:hint="eastAsia"/>
          <w:color w:val="000000"/>
          <w:sz w:val="24"/>
          <w:szCs w:val="24"/>
        </w:rPr>
        <w:t>单位：元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978"/>
        <w:gridCol w:w="1217"/>
        <w:gridCol w:w="1631"/>
        <w:gridCol w:w="2082"/>
      </w:tblGrid>
      <w:tr w:rsidR="006420E9" w:rsidRPr="002406A0" w:rsidTr="00673DDA">
        <w:trPr>
          <w:cantSplit/>
          <w:trHeight w:val="410"/>
          <w:jc w:val="center"/>
        </w:trPr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leftChars="-228" w:left="-479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服务项目内容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 价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总 价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left="-42" w:right="-42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420E9" w:rsidRPr="002406A0" w:rsidTr="00673DDA">
        <w:trPr>
          <w:cantSplit/>
          <w:trHeight w:val="340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spacing w:after="145"/>
              <w:ind w:firstLine="560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启动仪式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按照规定要求，策划制定启动仪式活动具体方案，并安排人员车辆，做好相关的宣传活动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后勤保障工作</w:t>
            </w:r>
          </w:p>
        </w:tc>
      </w:tr>
      <w:tr w:rsidR="006420E9" w:rsidRPr="002406A0" w:rsidTr="00673DDA">
        <w:trPr>
          <w:cantSplit/>
          <w:trHeight w:val="340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低碳</w:t>
            </w:r>
            <w:proofErr w:type="gramStart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日集中</w:t>
            </w:r>
            <w:proofErr w:type="gramEnd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活动现场布展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22000元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策划</w:t>
            </w:r>
            <w:proofErr w:type="gramStart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制定龙奥大厦</w:t>
            </w:r>
            <w:proofErr w:type="gramEnd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、政务中心两个集中办公区的低碳日宣传活动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现场布展方案及工程实施，同时组织配合新能源汽车试乘试驾活动，提供不少于6人的服务人员，配合好宣传工作。</w:t>
            </w:r>
          </w:p>
        </w:tc>
      </w:tr>
      <w:tr w:rsidR="006420E9" w:rsidRPr="002406A0" w:rsidTr="00673DDA">
        <w:trPr>
          <w:cantSplit/>
          <w:trHeight w:val="340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社区节能宣传活动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制作宣传方案，提供展板设计方案，尺寸：120*240CM，提供保障人员4名，车辆2台，配合做好相关宣传活动</w:t>
            </w:r>
          </w:p>
        </w:tc>
      </w:tr>
      <w:tr w:rsidR="006420E9" w:rsidRPr="002406A0" w:rsidTr="00673DDA">
        <w:trPr>
          <w:cantSplit/>
          <w:trHeight w:val="340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宣传手册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元/册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20000册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提供设计方案，2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0</w:t>
            </w: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页左右，21*28cm,封面250克铜版亚膜，内页157克铜版</w:t>
            </w:r>
          </w:p>
        </w:tc>
      </w:tr>
      <w:tr w:rsidR="006420E9" w:rsidRPr="002406A0" w:rsidTr="00673DDA">
        <w:trPr>
          <w:cantSplit/>
          <w:trHeight w:val="241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倡议书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0.35元/份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20000份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提供设计方案，A4纸4种颜色双面印刷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宣传横幅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龙奥大厦</w:t>
            </w:r>
            <w:proofErr w:type="gramEnd"/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、政务中心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，社区</w:t>
            </w: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使用，绸质户外写真，尺寸根据悬挂地点测量确定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帆布环保袋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7.5元/</w:t>
            </w:r>
            <w:proofErr w:type="gramStart"/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4000个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30000元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2</w:t>
            </w: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安，可重复利用帆布环保布袋，采用环保监测标准布料，印制需采用环保材料,需出具相关检测文件。彩色图案，四色印刷。根据要求印节能宣传口号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雨伞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广告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15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元/把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2500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37500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伞宽</w:t>
            </w:r>
            <w:proofErr w:type="gramEnd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105cm，10骨精钢+玻纤骨架，</w:t>
            </w:r>
            <w:proofErr w:type="gramStart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高密度强拒水</w:t>
            </w:r>
            <w:proofErr w:type="gramEnd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布，三折，印节能宣传标语。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350" w:firstLine="84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折扇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/把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500个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6500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扇面凌绢面料，扇骨木质，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10寸，激光雕刻节能宣传周口号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ind w:firstLineChars="100" w:firstLine="24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多功能太阳能</w:t>
            </w:r>
          </w:p>
          <w:p w:rsidR="006420E9" w:rsidRPr="002406A0" w:rsidRDefault="006420E9" w:rsidP="00673DDA">
            <w:pPr>
              <w:tabs>
                <w:tab w:val="left" w:pos="1337"/>
              </w:tabs>
              <w:ind w:firstLineChars="100" w:firstLine="24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应急充电灯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500个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17500元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342A1">
              <w:rPr>
                <w:rFonts w:ascii="仿宋" w:eastAsia="仿宋" w:hAnsi="仿宋" w:cs="仿宋_GB2312" w:hint="eastAsia"/>
                <w:sz w:val="24"/>
                <w:szCs w:val="24"/>
              </w:rPr>
              <w:t>具备手机充电、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光闪</w:t>
            </w:r>
            <w:r w:rsidRPr="006342A1">
              <w:rPr>
                <w:rFonts w:ascii="仿宋" w:eastAsia="仿宋" w:hAnsi="仿宋" w:cs="仿宋_GB2312" w:hint="eastAsia"/>
                <w:sz w:val="24"/>
                <w:szCs w:val="24"/>
              </w:rPr>
              <w:t>报警、应急照明等功能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卡片式U盘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55元/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7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500个</w:t>
            </w:r>
          </w:p>
        </w:tc>
        <w:tc>
          <w:tcPr>
            <w:tcW w:w="1631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27500元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6342A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USB接口，内存16G，外观新颖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，在U盘盘体上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激光雕刻节能宣传周口号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节能灯泡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11.5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proofErr w:type="gramStart"/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4000个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46000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LED球泡（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7</w:t>
            </w: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W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）</w:t>
            </w: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产品应通过ISO900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</w:t>
            </w: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质量认证、ISO14001环保认证。提供产品6个月以内质量检测报告。质保五年（该项目</w:t>
            </w:r>
            <w:proofErr w:type="gramStart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中标商</w:t>
            </w:r>
            <w:proofErr w:type="gramEnd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出具质</w:t>
            </w:r>
            <w:proofErr w:type="gramStart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保承诺</w:t>
            </w:r>
            <w:proofErr w:type="gramEnd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书）。</w:t>
            </w:r>
          </w:p>
        </w:tc>
      </w:tr>
      <w:tr w:rsidR="006420E9" w:rsidRPr="002406A0" w:rsidTr="00673DDA">
        <w:trPr>
          <w:cantSplit/>
          <w:trHeight w:val="1774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媒体报道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/天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不少于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7天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7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提供不少于7天的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广播</w:t>
            </w:r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电视、网络、报刊、移动媒体等多种形式的宣传报道。</w:t>
            </w:r>
            <w:proofErr w:type="gramStart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且宣传</w:t>
            </w:r>
            <w:proofErr w:type="gramEnd"/>
            <w:r w:rsidRPr="002406A0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形式多样，效果明显。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同时提供一定的长效宣传服务。</w:t>
            </w:r>
          </w:p>
        </w:tc>
      </w:tr>
      <w:tr w:rsidR="006420E9" w:rsidRPr="002406A0" w:rsidTr="00673DDA">
        <w:trPr>
          <w:cantSplit/>
          <w:trHeight w:val="1774"/>
          <w:jc w:val="center"/>
        </w:trPr>
        <w:tc>
          <w:tcPr>
            <w:tcW w:w="2314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ind w:firstLineChars="250" w:firstLine="60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地标广告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5万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在绿地中心提供2天的滚动式播放宣传周主题口号，以及省府前街、彩云大厦、和谐广场的LED屏，每次播放15秒，每晚循环播放60次</w:t>
            </w:r>
          </w:p>
        </w:tc>
      </w:tr>
      <w:tr w:rsidR="006420E9" w:rsidRPr="002406A0" w:rsidTr="00673DDA">
        <w:trPr>
          <w:cantSplit/>
          <w:trHeight w:val="305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rPr>
                <w:rFonts w:ascii="仿宋" w:eastAsia="仿宋" w:hAnsi="仿宋" w:cs="仿宋_GB2312"/>
                <w:sz w:val="24"/>
                <w:szCs w:val="24"/>
              </w:rPr>
            </w:pPr>
            <w:r w:rsidRPr="006342A1">
              <w:rPr>
                <w:rFonts w:ascii="仿宋" w:eastAsia="仿宋" w:hAnsi="仿宋" w:cs="仿宋_GB2312" w:hint="eastAsia"/>
                <w:sz w:val="24"/>
                <w:szCs w:val="24"/>
              </w:rPr>
              <w:t>启动仪式及低碳日、社区宣传、县区集中采编活动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6420E9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6342A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1、启动仪式活动现场服务，满足设计方案所开展活动所必须的人员服务。2、低碳日活动的现场服务，满足设计方案</w:t>
            </w:r>
            <w:proofErr w:type="gramStart"/>
            <w:r w:rsidRPr="006342A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中龙奥大厦</w:t>
            </w:r>
            <w:proofErr w:type="gramEnd"/>
            <w:r w:rsidRPr="006342A1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、政务中心、社区及县区采编检查等活动所必须的人员服务。3、集中宣传活动期间提供相应车辆保障。</w:t>
            </w:r>
          </w:p>
        </w:tc>
      </w:tr>
      <w:tr w:rsidR="006420E9" w:rsidRPr="002406A0" w:rsidTr="00673DDA">
        <w:trPr>
          <w:cantSplit/>
          <w:trHeight w:val="3138"/>
          <w:jc w:val="center"/>
        </w:trPr>
        <w:tc>
          <w:tcPr>
            <w:tcW w:w="2314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sz w:val="24"/>
                <w:szCs w:val="24"/>
              </w:rPr>
              <w:t>宣传周整体保障</w:t>
            </w:r>
          </w:p>
        </w:tc>
        <w:tc>
          <w:tcPr>
            <w:tcW w:w="978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/天</w:t>
            </w:r>
          </w:p>
        </w:tc>
        <w:tc>
          <w:tcPr>
            <w:tcW w:w="1217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1天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000元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406A0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活动服务，为期10天（7天活动，提前2天准备，后加1天整理收尾），提供不少于3人的现场服务，（客车1辆载客不少于7人）及全程人员服务。此外要求服务供应商为活动购买意外伤害保险。</w:t>
            </w:r>
          </w:p>
        </w:tc>
      </w:tr>
      <w:tr w:rsidR="006420E9" w:rsidRPr="002406A0" w:rsidTr="00673DDA">
        <w:trPr>
          <w:cantSplit/>
          <w:trHeight w:val="242"/>
          <w:jc w:val="center"/>
        </w:trPr>
        <w:tc>
          <w:tcPr>
            <w:tcW w:w="4509" w:type="dxa"/>
            <w:gridSpan w:val="3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1631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58500</w:t>
            </w:r>
            <w:r w:rsidRPr="002406A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2082" w:type="dxa"/>
            <w:vAlign w:val="center"/>
          </w:tcPr>
          <w:p w:rsidR="006420E9" w:rsidRPr="002406A0" w:rsidRDefault="006420E9" w:rsidP="00673DDA">
            <w:pPr>
              <w:tabs>
                <w:tab w:val="left" w:pos="133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6420E9" w:rsidRPr="002406A0" w:rsidRDefault="006420E9" w:rsidP="006420E9">
      <w:pPr>
        <w:ind w:firstLineChars="250" w:firstLine="600"/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6420E9" w:rsidRPr="002406A0" w:rsidRDefault="006420E9" w:rsidP="006420E9">
      <w:pPr>
        <w:spacing w:line="520" w:lineRule="exact"/>
        <w:rPr>
          <w:rFonts w:ascii="仿宋" w:eastAsia="仿宋" w:hAnsi="仿宋"/>
          <w:b/>
          <w:kern w:val="0"/>
          <w:sz w:val="24"/>
          <w:szCs w:val="24"/>
        </w:rPr>
      </w:pPr>
    </w:p>
    <w:p w:rsidR="006420E9" w:rsidRPr="002406A0" w:rsidRDefault="006420E9" w:rsidP="006420E9">
      <w:pPr>
        <w:spacing w:line="520" w:lineRule="exact"/>
        <w:rPr>
          <w:rFonts w:ascii="仿宋" w:eastAsia="仿宋" w:hAnsi="仿宋"/>
          <w:b/>
          <w:kern w:val="0"/>
          <w:sz w:val="24"/>
          <w:szCs w:val="24"/>
        </w:rPr>
      </w:pPr>
    </w:p>
    <w:p w:rsidR="006420E9" w:rsidRDefault="006420E9" w:rsidP="006420E9">
      <w:pPr>
        <w:tabs>
          <w:tab w:val="left" w:pos="5580"/>
        </w:tabs>
        <w:spacing w:line="360" w:lineRule="auto"/>
        <w:rPr>
          <w:rFonts w:ascii="黑体" w:eastAsia="黑体" w:hAnsi="黑体"/>
          <w:b/>
          <w:color w:val="000000"/>
          <w:kern w:val="0"/>
          <w:sz w:val="32"/>
          <w:szCs w:val="32"/>
        </w:rPr>
      </w:pPr>
    </w:p>
    <w:p w:rsidR="008D44F9" w:rsidRDefault="008D44F9"/>
    <w:sectPr w:rsidR="008D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EA" w:rsidRDefault="001770EA" w:rsidP="006420E9">
      <w:r>
        <w:separator/>
      </w:r>
    </w:p>
  </w:endnote>
  <w:endnote w:type="continuationSeparator" w:id="0">
    <w:p w:rsidR="001770EA" w:rsidRDefault="001770EA" w:rsidP="0064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EA" w:rsidRDefault="001770EA" w:rsidP="006420E9">
      <w:r>
        <w:separator/>
      </w:r>
    </w:p>
  </w:footnote>
  <w:footnote w:type="continuationSeparator" w:id="0">
    <w:p w:rsidR="001770EA" w:rsidRDefault="001770EA" w:rsidP="0064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DC"/>
    <w:rsid w:val="001770EA"/>
    <w:rsid w:val="006420E9"/>
    <w:rsid w:val="008D44F9"/>
    <w:rsid w:val="009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0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E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E9"/>
    <w:rPr>
      <w:sz w:val="18"/>
      <w:szCs w:val="18"/>
    </w:rPr>
  </w:style>
  <w:style w:type="paragraph" w:styleId="a5">
    <w:name w:val="No Spacing"/>
    <w:uiPriority w:val="1"/>
    <w:qFormat/>
    <w:rsid w:val="006420E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0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E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E9"/>
    <w:rPr>
      <w:sz w:val="18"/>
      <w:szCs w:val="18"/>
    </w:rPr>
  </w:style>
  <w:style w:type="paragraph" w:styleId="a5">
    <w:name w:val="No Spacing"/>
    <w:uiPriority w:val="1"/>
    <w:qFormat/>
    <w:rsid w:val="006420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2020-06-05T06:42:00Z</dcterms:created>
  <dcterms:modified xsi:type="dcterms:W3CDTF">2020-06-05T06:42:00Z</dcterms:modified>
</cp:coreProperties>
</file>